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334174">
      <w:pPr>
        <w:pStyle w:val="2"/>
        <w:ind w:left="0" w:leftChars="0" w:firstLine="0" w:firstLineChars="0"/>
        <w:rPr>
          <w:rFonts w:hint="eastAsia" w:ascii="宋体" w:hAnsi="宋体" w:eastAsia="宋体" w:cs="宋体"/>
          <w:b/>
          <w:color w:val="auto"/>
          <w:sz w:val="28"/>
          <w:szCs w:val="28"/>
          <w:highlight w:val="none"/>
          <w:lang w:val="en-US" w:eastAsia="zh-CN" w:bidi="ar-SA"/>
        </w:rPr>
      </w:pPr>
      <w:bookmarkStart w:id="0" w:name="_Hlk172281767"/>
      <w:r>
        <w:rPr>
          <w:rFonts w:hint="eastAsia" w:ascii="宋体" w:hAnsi="宋体" w:eastAsia="宋体" w:cs="宋体"/>
          <w:b/>
          <w:color w:val="auto"/>
          <w:sz w:val="28"/>
          <w:szCs w:val="28"/>
          <w:highlight w:val="none"/>
          <w:lang w:val="en-US" w:eastAsia="zh-CN" w:bidi="ar-SA"/>
        </w:rPr>
        <w:t>项目编号：</w:t>
      </w:r>
      <w:r>
        <w:rPr>
          <w:rFonts w:hint="eastAsia" w:ascii="宋体" w:hAnsi="宋体" w:eastAsia="宋体" w:cs="宋体"/>
          <w:b/>
          <w:color w:val="auto"/>
          <w:sz w:val="28"/>
          <w:szCs w:val="28"/>
          <w:highlight w:val="none"/>
          <w:lang w:val="en-US" w:eastAsia="zh-CN"/>
        </w:rPr>
        <w:t>TLMDZBCG-2026T019</w:t>
      </w:r>
    </w:p>
    <w:p w14:paraId="1B984898">
      <w:pPr>
        <w:pStyle w:val="8"/>
        <w:spacing w:line="360" w:lineRule="auto"/>
        <w:jc w:val="center"/>
        <w:rPr>
          <w:rFonts w:hint="eastAsia" w:ascii="仿宋" w:hAnsi="仿宋" w:eastAsia="仿宋"/>
          <w:b/>
          <w:color w:val="auto"/>
          <w:sz w:val="52"/>
          <w:szCs w:val="52"/>
          <w:highlight w:val="none"/>
          <w:lang w:eastAsia="zh-CN"/>
        </w:rPr>
      </w:pPr>
    </w:p>
    <w:p w14:paraId="61FC792F">
      <w:pPr>
        <w:pStyle w:val="8"/>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铜陵市郊区医养结合一体化建设项目监理</w:t>
      </w:r>
    </w:p>
    <w:p w14:paraId="65A46FAE">
      <w:pPr>
        <w:pStyle w:val="55"/>
        <w:spacing w:line="360" w:lineRule="auto"/>
        <w:ind w:left="0" w:right="84"/>
        <w:jc w:val="center"/>
        <w:rPr>
          <w:rFonts w:ascii="仿宋" w:hAnsi="仿宋" w:eastAsia="仿宋"/>
          <w:color w:val="auto"/>
          <w:spacing w:val="-3"/>
          <w:sz w:val="72"/>
          <w:szCs w:val="72"/>
          <w:highlight w:val="none"/>
        </w:rPr>
      </w:pPr>
    </w:p>
    <w:p w14:paraId="747A4C1D">
      <w:pPr>
        <w:pStyle w:val="55"/>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8"/>
        <w:spacing w:line="360" w:lineRule="auto"/>
        <w:rPr>
          <w:rFonts w:hint="eastAsia" w:ascii="仿宋" w:hAnsi="仿宋" w:eastAsia="仿宋"/>
          <w:b/>
          <w:color w:val="auto"/>
          <w:sz w:val="21"/>
          <w:szCs w:val="28"/>
          <w:highlight w:val="none"/>
        </w:rPr>
      </w:pPr>
    </w:p>
    <w:p w14:paraId="4E6B4627">
      <w:pPr>
        <w:pStyle w:val="8"/>
        <w:spacing w:line="360" w:lineRule="auto"/>
        <w:rPr>
          <w:rFonts w:hint="eastAsia" w:ascii="仿宋" w:hAnsi="仿宋" w:eastAsia="仿宋"/>
          <w:b/>
          <w:color w:val="auto"/>
          <w:sz w:val="21"/>
          <w:szCs w:val="28"/>
          <w:highlight w:val="none"/>
        </w:rPr>
      </w:pPr>
    </w:p>
    <w:p w14:paraId="7E05D268">
      <w:pPr>
        <w:pStyle w:val="8"/>
        <w:spacing w:line="360" w:lineRule="auto"/>
        <w:rPr>
          <w:rFonts w:hint="eastAsia" w:ascii="仿宋" w:hAnsi="仿宋" w:eastAsia="仿宋"/>
          <w:b/>
          <w:color w:val="auto"/>
          <w:sz w:val="21"/>
          <w:szCs w:val="28"/>
          <w:highlight w:val="none"/>
        </w:rPr>
      </w:pPr>
    </w:p>
    <w:p w14:paraId="691C91E9">
      <w:pPr>
        <w:pStyle w:val="8"/>
        <w:spacing w:line="360" w:lineRule="auto"/>
        <w:rPr>
          <w:rFonts w:hint="eastAsia" w:ascii="仿宋" w:hAnsi="仿宋" w:eastAsia="仿宋"/>
          <w:b/>
          <w:color w:val="auto"/>
          <w:sz w:val="21"/>
          <w:szCs w:val="28"/>
          <w:highlight w:val="none"/>
        </w:rPr>
      </w:pPr>
    </w:p>
    <w:p w14:paraId="75CE9885">
      <w:pPr>
        <w:pStyle w:val="8"/>
        <w:spacing w:line="360" w:lineRule="auto"/>
        <w:rPr>
          <w:rFonts w:hint="eastAsia" w:ascii="仿宋" w:hAnsi="仿宋" w:eastAsia="仿宋"/>
          <w:b/>
          <w:color w:val="auto"/>
          <w:sz w:val="21"/>
          <w:szCs w:val="28"/>
          <w:highlight w:val="none"/>
        </w:rPr>
      </w:pPr>
    </w:p>
    <w:p w14:paraId="086F1DD6">
      <w:pPr>
        <w:pStyle w:val="8"/>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   标   人：铜陵大通美食文化广场有限公司（盖章）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color w:val="auto"/>
          <w:sz w:val="30"/>
          <w:szCs w:val="30"/>
          <w:highlight w:val="none"/>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招标代理机构：铜陵铭铎工程咨询有限公司（盖章）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color w:val="auto"/>
          <w:sz w:val="30"/>
          <w:szCs w:val="30"/>
          <w:highlight w:val="none"/>
          <w:lang w:val="en-US"/>
        </w:rPr>
      </w:pPr>
    </w:p>
    <w:p w14:paraId="5936BCC4">
      <w:pPr>
        <w:pStyle w:val="54"/>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b/>
          <w:color w:val="auto"/>
          <w:kern w:val="2"/>
          <w:sz w:val="30"/>
          <w:szCs w:val="30"/>
          <w:highlight w:val="none"/>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color w:val="auto"/>
          <w:kern w:val="2"/>
          <w:sz w:val="30"/>
          <w:szCs w:val="30"/>
          <w:highlight w:val="none"/>
          <w:lang w:val="en-US" w:eastAsia="zh-CN" w:bidi="ar"/>
        </w:rPr>
        <w:t>2026年2月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8"/>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30"/>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5"/>
        <w:spacing w:line="360" w:lineRule="auto"/>
        <w:rPr>
          <w:rFonts w:hint="eastAsia" w:ascii="仿宋" w:hAnsi="仿宋" w:eastAsia="仿宋"/>
          <w:color w:val="auto"/>
          <w:sz w:val="36"/>
          <w:szCs w:val="44"/>
          <w:highlight w:val="none"/>
        </w:rPr>
      </w:pPr>
      <w:bookmarkStart w:id="1" w:name="_Toc174523177"/>
      <w:bookmarkStart w:id="2" w:name="_Toc174523088"/>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5E5748F6">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铜陵市郊区医养结合一体化建设项目监理</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铜陵市郊区医养结合一体化建设项目</w:t>
      </w:r>
      <w:r>
        <w:rPr>
          <w:rFonts w:hint="eastAsia" w:ascii="仿宋" w:hAnsi="仿宋" w:eastAsia="仿宋"/>
          <w:color w:val="auto"/>
          <w:sz w:val="24"/>
          <w:szCs w:val="24"/>
          <w:highlight w:val="none"/>
          <w:u w:val="single"/>
          <w:lang w:val="en-US" w:eastAsia="zh-CN"/>
        </w:rPr>
        <w:t>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olor w:val="auto"/>
          <w:szCs w:val="24"/>
          <w:highlight w:val="none"/>
          <w:u w:val="single"/>
        </w:rPr>
        <w:t>铜陵市郊区发展改革委员会备案表</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铜陵大通美食文化广场有限公司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Cs w:val="24"/>
          <w:highlight w:val="none"/>
          <w:u w:val="single"/>
        </w:rPr>
        <w:t>铜陵大通美食文化广场有限公司</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自筹资金及银行贷款</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铜陵市郊区医养结合一体化建设项目监理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Cs w:val="24"/>
          <w:highlight w:val="none"/>
        </w:rPr>
        <w:t>TLMDZBCG-2026T019</w:t>
      </w:r>
      <w:r>
        <w:rPr>
          <w:rFonts w:hint="eastAsia" w:ascii="仿宋" w:hAnsi="仿宋" w:eastAsia="仿宋"/>
          <w:color w:val="auto"/>
          <w:sz w:val="24"/>
          <w:szCs w:val="24"/>
          <w:highlight w:val="none"/>
          <w:lang w:eastAsia="zh-CN"/>
        </w:rPr>
        <w:t>；</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Cs w:val="24"/>
          <w:highlight w:val="none"/>
        </w:rPr>
        <w:t>TLMDZBCG-2026T019</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建设地点：本项目位于安徽省铜陵市郊区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s="宋体"/>
          <w:color w:val="auto"/>
          <w:sz w:val="24"/>
          <w:szCs w:val="24"/>
          <w:highlight w:val="none"/>
        </w:rPr>
        <w:t>项目位于铜陵市郊区大通镇等8个乡镇办，本项目规划改建总建筑面积32362.26平方米，其中：自有房产10601.26平方米，租赁房产21761平方米，改建后达到814张床位。建设内容主要有：对主体工程改造及室内外装饰、水电照明管线改造、卫生间装饰及设施，配置家具电器、空调等工程及购置医疗设备52台（套），</w:t>
      </w:r>
      <w:r>
        <w:rPr>
          <w:rFonts w:hint="eastAsia" w:ascii="仿宋" w:hAnsi="仿宋" w:eastAsia="仿宋" w:cs="宋体"/>
          <w:color w:val="auto"/>
          <w:sz w:val="24"/>
          <w:szCs w:val="24"/>
          <w:highlight w:val="none"/>
          <w:lang w:val="en-US" w:eastAsia="zh-CN"/>
        </w:rPr>
        <w:t>具体详见设计图纸</w:t>
      </w:r>
      <w:r>
        <w:rPr>
          <w:rFonts w:hint="eastAsia" w:ascii="仿宋" w:hAnsi="仿宋" w:eastAsia="仿宋"/>
          <w:color w:val="auto"/>
          <w:sz w:val="24"/>
          <w:szCs w:val="24"/>
          <w:highlight w:val="none"/>
          <w:lang w:val="en-US" w:eastAsia="zh-CN"/>
        </w:rPr>
        <w:t>。项目建安工程费约5201.6515万元。监理服务费率最高投标限价为1%，即监理服务费最高投标限价52万元</w:t>
      </w:r>
      <w:r>
        <w:rPr>
          <w:rFonts w:hint="eastAsia" w:ascii="仿宋" w:hAnsi="仿宋" w:eastAsia="仿宋" w:cs="宋体"/>
          <w:color w:val="auto"/>
          <w:sz w:val="24"/>
          <w:szCs w:val="24"/>
          <w:highlight w:val="none"/>
          <w:lang w:eastAsia="zh-CN"/>
        </w:rPr>
        <w:t>；</w:t>
      </w:r>
    </w:p>
    <w:p w14:paraId="028C11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auto"/>
          <w:sz w:val="24"/>
          <w:szCs w:val="24"/>
          <w:highlight w:val="none"/>
          <w:u w:val="single"/>
          <w:lang w:val="en-US" w:eastAsia="zh-CN"/>
        </w:rPr>
        <w:t>52万元</w:t>
      </w:r>
      <w:r>
        <w:rPr>
          <w:rFonts w:hint="eastAsia" w:ascii="仿宋" w:hAnsi="仿宋" w:eastAsia="仿宋"/>
          <w:color w:val="auto"/>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lang w:eastAsia="zh-CN"/>
        </w:rPr>
        <w:t>自合同生效之日起至缺陷责任期结束并交付之日止（设计及施工工期360日历天，缺陷责任期24个月）。</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工程勘察、设计、施工阶段全过程监理及缺陷责任期相关服务。（包括但不限于项目勘察、设计等阶段的管理及协调配合相关监理服务，施工阶段的质量、进度、费用控制和安全、合同、信息管理以及组织协调等其它监理服务，缺陷责任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color w:val="auto"/>
          <w:sz w:val="24"/>
          <w:szCs w:val="24"/>
          <w:highlight w:val="none"/>
          <w:u w:val="single"/>
        </w:rPr>
        <w:t>EPC 总承包工程监理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bCs/>
          <w:color w:val="auto"/>
          <w:sz w:val="24"/>
          <w:szCs w:val="24"/>
          <w:highlight w:val="none"/>
          <w:u w:val="none"/>
        </w:rPr>
        <w:t>工程</w:t>
      </w:r>
      <w:r>
        <w:rPr>
          <w:rFonts w:hint="eastAsia" w:ascii="仿宋" w:hAnsi="仿宋" w:eastAsia="仿宋"/>
          <w:color w:val="auto"/>
          <w:sz w:val="24"/>
          <w:szCs w:val="24"/>
          <w:highlight w:val="none"/>
          <w:u w:val="none"/>
        </w:rPr>
        <w:t>专业监</w:t>
      </w:r>
      <w:r>
        <w:rPr>
          <w:rFonts w:hint="eastAsia" w:ascii="仿宋" w:hAnsi="仿宋" w:eastAsia="仿宋" w:cs="宋体"/>
          <w:color w:val="auto"/>
          <w:sz w:val="24"/>
          <w:szCs w:val="24"/>
          <w:highlight w:val="none"/>
          <w:u w:val="none"/>
          <w:lang w:val="en-US" w:eastAsia="zh-CN"/>
        </w:rPr>
        <w:t>理乙级</w:t>
      </w:r>
      <w:r>
        <w:rPr>
          <w:rFonts w:hint="eastAsia" w:ascii="仿宋" w:hAnsi="仿宋" w:eastAsia="仿宋" w:cs="宋体"/>
          <w:color w:val="auto"/>
          <w:sz w:val="24"/>
          <w:szCs w:val="24"/>
          <w:highlight w:val="none"/>
          <w:u w:val="none"/>
          <w:lang w:val="en-US" w:eastAsia="zh-CN"/>
        </w:rPr>
        <w:t>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bookmarkStart w:id="142" w:name="_GoBack"/>
      <w:bookmarkEnd w:id="142"/>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color w:val="auto"/>
          <w:sz w:val="24"/>
          <w:szCs w:val="24"/>
          <w:highlight w:val="none"/>
          <w:u w:val="single"/>
        </w:rPr>
        <w:t>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5.1递交投标文件截止（开标）时间为：2026年3月12日10时30分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 xml:space="preserve">铜陵大通美食文化广场有限公司 </w:t>
      </w:r>
    </w:p>
    <w:p w14:paraId="78CD7FF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安徽省铜陵市郊区大通美食广场</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424D1C84">
      <w:pPr>
        <w:pageBreakBefore w:val="0"/>
        <w:kinsoku/>
        <w:overflowPunct/>
        <w:bidi w:val="0"/>
        <w:snapToGrid/>
        <w:spacing w:line="360" w:lineRule="auto"/>
        <w:ind w:firstLine="480" w:firstLineChars="200"/>
        <w:jc w:val="left"/>
        <w:rPr>
          <w:rFonts w:hint="eastAsia" w:ascii="仿宋" w:hAnsi="仿宋" w:eastAsia="仿宋" w:cs="宋体"/>
          <w:color w:val="auto"/>
          <w:sz w:val="24"/>
          <w:szCs w:val="24"/>
          <w:highlight w:val="none"/>
        </w:rPr>
      </w:pPr>
      <w:r>
        <w:rPr>
          <w:rFonts w:hint="eastAsia" w:ascii="仿宋" w:hAnsi="仿宋" w:eastAsia="仿宋"/>
          <w:color w:val="auto"/>
          <w:sz w:val="24"/>
          <w:szCs w:val="24"/>
          <w:highlight w:val="none"/>
          <w:lang w:eastAsia="zh-CN"/>
        </w:rPr>
        <w:t>联系人：</w:t>
      </w:r>
      <w:r>
        <w:rPr>
          <w:rFonts w:hint="eastAsia" w:ascii="仿宋" w:hAnsi="仿宋" w:eastAsia="仿宋" w:cs="宋体"/>
          <w:color w:val="auto"/>
          <w:sz w:val="24"/>
          <w:szCs w:val="24"/>
          <w:highlight w:val="none"/>
          <w:lang w:val="en-US" w:eastAsia="zh-CN"/>
        </w:rPr>
        <w:t>牛女士</w:t>
      </w:r>
    </w:p>
    <w:p w14:paraId="3D9F59E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s="宋体"/>
          <w:color w:val="auto"/>
          <w:sz w:val="24"/>
          <w:szCs w:val="24"/>
          <w:highlight w:val="none"/>
        </w:rPr>
        <w:t>电话：</w:t>
      </w:r>
      <w:r>
        <w:rPr>
          <w:rFonts w:hint="eastAsia" w:ascii="仿宋" w:hAnsi="仿宋" w:eastAsia="仿宋" w:cs="宋体"/>
          <w:color w:val="auto"/>
          <w:sz w:val="24"/>
          <w:szCs w:val="24"/>
          <w:highlight w:val="none"/>
          <w:lang w:val="en-US" w:eastAsia="zh-CN"/>
        </w:rPr>
        <w:t>13705620312</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招标代理机构：铜陵铭铎工程咨询有限公司</w:t>
      </w:r>
    </w:p>
    <w:p w14:paraId="633A613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铜陵市万泰汇富广场写字楼1608号</w:t>
      </w:r>
      <w:r>
        <w:rPr>
          <w:rFonts w:hint="eastAsia" w:ascii="仿宋" w:hAnsi="仿宋" w:eastAsia="仿宋"/>
          <w:color w:val="auto"/>
          <w:sz w:val="24"/>
          <w:szCs w:val="24"/>
          <w:highlight w:val="none"/>
        </w:rPr>
        <w:t xml:space="preserve"> </w:t>
      </w:r>
    </w:p>
    <w:p w14:paraId="6D6E6D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24D306D3">
      <w:pPr>
        <w:spacing w:line="360" w:lineRule="auto"/>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陈工</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 xml:space="preserve">18956231158 </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p>
    <w:bookmarkEnd w:id="5"/>
    <w:p w14:paraId="769914DF">
      <w:pPr>
        <w:pStyle w:val="5"/>
        <w:spacing w:line="360" w:lineRule="auto"/>
        <w:rPr>
          <w:rFonts w:hint="eastAsia" w:ascii="仿宋" w:hAnsi="仿宋" w:eastAsia="仿宋"/>
          <w:color w:val="auto"/>
          <w:sz w:val="36"/>
          <w:szCs w:val="44"/>
          <w:highlight w:val="none"/>
        </w:rPr>
      </w:pPr>
      <w:bookmarkStart w:id="6" w:name="_Toc174523178"/>
      <w:bookmarkStart w:id="7" w:name="_Toc129765773"/>
      <w:bookmarkStart w:id="8" w:name="_Toc174523089"/>
    </w:p>
    <w:p w14:paraId="7CEAAFD2">
      <w:pPr>
        <w:pStyle w:val="5"/>
        <w:spacing w:line="360" w:lineRule="auto"/>
        <w:rPr>
          <w:rFonts w:hint="eastAsia" w:ascii="仿宋" w:hAnsi="仿宋" w:eastAsia="仿宋"/>
          <w:color w:val="auto"/>
          <w:sz w:val="36"/>
          <w:szCs w:val="44"/>
          <w:highlight w:val="none"/>
        </w:rPr>
      </w:pPr>
    </w:p>
    <w:p w14:paraId="34C9B195">
      <w:pPr>
        <w:pStyle w:val="5"/>
        <w:spacing w:line="360" w:lineRule="auto"/>
        <w:rPr>
          <w:rFonts w:hint="eastAsia" w:ascii="仿宋" w:hAnsi="仿宋" w:eastAsia="仿宋"/>
          <w:color w:val="auto"/>
          <w:sz w:val="36"/>
          <w:szCs w:val="44"/>
          <w:highlight w:val="none"/>
        </w:rPr>
      </w:pPr>
    </w:p>
    <w:p w14:paraId="035E3116">
      <w:pP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203CC979">
      <w:pPr>
        <w:pStyle w:val="5"/>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57C09495">
            <w:pPr>
              <w:pStyle w:val="91"/>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4CE13F35">
            <w:pPr>
              <w:pStyle w:val="91"/>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38402893">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6"/>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4A71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BB8DD1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3.2.3</w:t>
            </w:r>
          </w:p>
        </w:tc>
        <w:tc>
          <w:tcPr>
            <w:tcW w:w="1920" w:type="dxa"/>
            <w:shd w:val="clear" w:color="auto" w:fill="auto"/>
            <w:vAlign w:val="center"/>
          </w:tcPr>
          <w:p w14:paraId="063D53A8">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报价方式</w:t>
            </w:r>
            <w:r>
              <w:rPr>
                <w:rFonts w:hint="eastAsia" w:ascii="宋体" w:hAnsi="宋体" w:eastAsia="宋体" w:cs="宋体"/>
                <w:color w:val="auto"/>
                <w:sz w:val="21"/>
                <w:szCs w:val="21"/>
                <w:highlight w:val="none"/>
                <w:lang w:val="en-US" w:eastAsia="zh-CN"/>
              </w:rPr>
              <w:t>及</w:t>
            </w:r>
            <w:r>
              <w:rPr>
                <w:rFonts w:hint="eastAsia" w:ascii="宋体" w:hAnsi="宋体" w:cs="宋体"/>
                <w:snapToGrid w:val="0"/>
                <w:color w:val="auto"/>
                <w:kern w:val="0"/>
                <w:sz w:val="21"/>
                <w:szCs w:val="21"/>
                <w:highlight w:val="none"/>
              </w:rPr>
              <w:t>付款方式</w:t>
            </w:r>
          </w:p>
        </w:tc>
        <w:tc>
          <w:tcPr>
            <w:tcW w:w="6187" w:type="dxa"/>
            <w:shd w:val="clear" w:color="auto" w:fill="auto"/>
            <w:vAlign w:val="center"/>
          </w:tcPr>
          <w:p w14:paraId="094D978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（一）报价方式：总价报价，保留小数点后两位。</w:t>
            </w:r>
          </w:p>
          <w:p w14:paraId="2E2B509A">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（二）计价方式：</w:t>
            </w:r>
          </w:p>
          <w:p w14:paraId="60D7370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snapToGrid w:val="0"/>
                <w:color w:val="auto"/>
                <w:sz w:val="21"/>
                <w:szCs w:val="21"/>
                <w:highlight w:val="none"/>
              </w:rPr>
              <w:t>①本项目中标监理费不作为支付监理费及结算依据，实际监理费按费率计算，即中标监理费率=中标监理费/</w:t>
            </w:r>
            <w:r>
              <w:rPr>
                <w:rFonts w:hint="eastAsia"/>
                <w:snapToGrid w:val="0"/>
                <w:color w:val="auto"/>
                <w:sz w:val="21"/>
                <w:szCs w:val="21"/>
                <w:highlight w:val="none"/>
                <w:lang w:val="en-US" w:eastAsia="zh-CN"/>
              </w:rPr>
              <w:t>5201.6515万元</w:t>
            </w:r>
            <w:r>
              <w:rPr>
                <w:rFonts w:hint="eastAsia"/>
                <w:snapToGrid w:val="0"/>
                <w:color w:val="auto"/>
                <w:sz w:val="21"/>
                <w:szCs w:val="21"/>
                <w:highlight w:val="none"/>
              </w:rPr>
              <w:t>（项目建安工程费）*100%；</w:t>
            </w:r>
          </w:p>
          <w:p w14:paraId="4D2A71B3">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sz w:val="21"/>
                <w:szCs w:val="21"/>
                <w:highlight w:val="none"/>
                <w:lang w:eastAsia="zh-CN"/>
              </w:rPr>
            </w:pPr>
            <w:r>
              <w:rPr>
                <w:rFonts w:hint="eastAsia"/>
                <w:snapToGrid w:val="0"/>
                <w:color w:val="auto"/>
                <w:sz w:val="21"/>
                <w:szCs w:val="21"/>
                <w:highlight w:val="none"/>
              </w:rPr>
              <w:t>②合同监理费总额仅作为发包人向监理单位支付监理费进度款的参考依据，不作为最终监理费结算依据</w:t>
            </w:r>
            <w:r>
              <w:rPr>
                <w:rFonts w:hint="eastAsia" w:ascii="宋体" w:hAnsi="宋体" w:eastAsia="宋体" w:cs="宋体"/>
                <w:snapToGrid w:val="0"/>
                <w:color w:val="auto"/>
                <w:sz w:val="21"/>
                <w:szCs w:val="21"/>
                <w:highlight w:val="none"/>
                <w:lang w:eastAsia="zh-CN"/>
              </w:rPr>
              <w:t>；</w:t>
            </w:r>
          </w:p>
          <w:p w14:paraId="33CE1AA1">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ascii="宋体" w:hAnsi="宋体" w:eastAsia="宋体" w:cs="宋体"/>
                <w:snapToGrid w:val="0"/>
                <w:color w:val="auto"/>
                <w:sz w:val="21"/>
                <w:szCs w:val="21"/>
                <w:highlight w:val="none"/>
                <w:lang w:val="en-US" w:eastAsia="zh-CN"/>
              </w:rPr>
            </w:pPr>
            <w:r>
              <w:rPr>
                <w:rFonts w:hint="eastAsia" w:ascii="仿宋" w:hAnsi="仿宋" w:eastAsia="仿宋"/>
                <w:color w:val="auto"/>
                <w:sz w:val="24"/>
                <w:szCs w:val="24"/>
                <w:highlight w:val="none"/>
              </w:rPr>
              <w:t>③</w:t>
            </w:r>
            <w:r>
              <w:rPr>
                <w:rFonts w:hint="eastAsia" w:ascii="宋体" w:hAnsi="宋体" w:eastAsia="宋体" w:cs="宋体"/>
                <w:snapToGrid w:val="0"/>
                <w:color w:val="auto"/>
                <w:kern w:val="0"/>
                <w:sz w:val="21"/>
                <w:szCs w:val="21"/>
                <w:highlight w:val="none"/>
                <w:lang w:val="en-US" w:eastAsia="zh-CN"/>
              </w:rPr>
              <w:t>本工程最终监理费以最终建安工程竣工结算审定价为计费基数，最终监理费结算价=工程竣工结算审定价×中标</w:t>
            </w:r>
            <w:r>
              <w:rPr>
                <w:rFonts w:hint="eastAsia" w:ascii="宋体" w:hAnsi="宋体" w:eastAsia="宋体" w:cs="宋体"/>
                <w:snapToGrid w:val="0"/>
                <w:color w:val="auto"/>
                <w:sz w:val="21"/>
                <w:szCs w:val="21"/>
                <w:highlight w:val="none"/>
              </w:rPr>
              <w:t>监理费率</w:t>
            </w:r>
            <w:r>
              <w:rPr>
                <w:rFonts w:hint="eastAsia" w:ascii="宋体" w:hAnsi="宋体" w:eastAsia="宋体" w:cs="宋体"/>
                <w:snapToGrid w:val="0"/>
                <w:color w:val="auto"/>
                <w:kern w:val="0"/>
                <w:sz w:val="21"/>
                <w:szCs w:val="21"/>
                <w:highlight w:val="none"/>
                <w:lang w:val="en-US" w:eastAsia="zh-CN"/>
              </w:rPr>
              <w:t>。</w:t>
            </w:r>
          </w:p>
          <w:p w14:paraId="366095D7">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ascii="宋体" w:hAnsi="宋体" w:eastAsia="宋体" w:cs="宋体"/>
                <w:snapToGrid w:val="0"/>
                <w:color w:val="auto"/>
                <w:kern w:val="0"/>
                <w:sz w:val="21"/>
                <w:szCs w:val="21"/>
                <w:highlight w:val="none"/>
                <w:lang w:val="en-US" w:eastAsia="zh-CN"/>
              </w:rPr>
              <w:t>（三）付款方式：</w:t>
            </w:r>
            <w:r>
              <w:rPr>
                <w:rFonts w:hint="eastAsia"/>
                <w:snapToGrid w:val="0"/>
                <w:color w:val="auto"/>
                <w:sz w:val="21"/>
                <w:szCs w:val="21"/>
                <w:highlight w:val="none"/>
              </w:rPr>
              <w:t>每月按实际完成工程量造价×中标监理费率×80%支付，工程竣工验收合格后付至85%（不超过合同价的85%）（计算方式同上），工程完成竣工备案及工程结算审核，向招标人或招标人指定的单位书面移交完毕，工程竣工资料和监理资料整理并验收合格并移交给相关部门后付至监理范围内工程结算价×中标监理费率的97%，余款（计算方式同上）待</w:t>
            </w:r>
            <w:r>
              <w:rPr>
                <w:rFonts w:hint="eastAsia" w:ascii="宋体" w:hAnsi="宋体" w:eastAsia="宋体" w:cs="宋体"/>
                <w:snapToGrid w:val="0"/>
                <w:color w:val="auto"/>
                <w:kern w:val="0"/>
                <w:sz w:val="21"/>
                <w:szCs w:val="21"/>
                <w:highlight w:val="none"/>
                <w:lang w:val="en-US" w:eastAsia="zh-CN"/>
              </w:rPr>
              <w:t>质量缺陷责任</w:t>
            </w:r>
            <w:r>
              <w:rPr>
                <w:rFonts w:hint="eastAsia"/>
                <w:snapToGrid w:val="0"/>
                <w:color w:val="auto"/>
                <w:sz w:val="21"/>
                <w:szCs w:val="21"/>
                <w:highlight w:val="none"/>
              </w:rPr>
              <w:t>期满质量回访合格后一次性返还。每次付款前，</w:t>
            </w:r>
            <w:r>
              <w:rPr>
                <w:rFonts w:hint="eastAsia" w:ascii="宋体" w:hAnsi="宋体" w:eastAsia="宋体" w:cs="宋体"/>
                <w:snapToGrid w:val="0"/>
                <w:color w:val="auto"/>
                <w:sz w:val="21"/>
                <w:szCs w:val="21"/>
                <w:highlight w:val="none"/>
                <w:lang w:eastAsia="zh-CN"/>
              </w:rPr>
              <w:t>监理</w:t>
            </w:r>
            <w:r>
              <w:rPr>
                <w:rFonts w:hint="eastAsia" w:ascii="宋体" w:hAnsi="宋体" w:eastAsia="宋体" w:cs="宋体"/>
                <w:snapToGrid w:val="0"/>
                <w:color w:val="auto"/>
                <w:sz w:val="21"/>
                <w:szCs w:val="21"/>
                <w:highlight w:val="none"/>
                <w:lang w:val="en-US" w:eastAsia="zh-CN"/>
              </w:rPr>
              <w:t>人</w:t>
            </w:r>
            <w:r>
              <w:rPr>
                <w:rFonts w:hint="eastAsia"/>
                <w:snapToGrid w:val="0"/>
                <w:color w:val="auto"/>
                <w:sz w:val="21"/>
                <w:szCs w:val="21"/>
                <w:highlight w:val="none"/>
              </w:rPr>
              <w:t>应当向委托人提交同等金额</w:t>
            </w:r>
            <w:r>
              <w:rPr>
                <w:rFonts w:hint="eastAsia"/>
                <w:snapToGrid w:val="0"/>
                <w:color w:val="auto"/>
                <w:sz w:val="21"/>
                <w:szCs w:val="21"/>
                <w:highlight w:val="none"/>
                <w:lang w:val="en-US" w:eastAsia="zh-CN"/>
              </w:rPr>
              <w:t>6%</w:t>
            </w:r>
            <w:r>
              <w:rPr>
                <w:rFonts w:hint="eastAsia"/>
                <w:snapToGrid w:val="0"/>
                <w:color w:val="auto"/>
                <w:sz w:val="21"/>
                <w:szCs w:val="21"/>
                <w:highlight w:val="none"/>
              </w:rPr>
              <w:t>增值税专用发票。</w:t>
            </w:r>
          </w:p>
          <w:p w14:paraId="63915F06">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lang w:val="en-US" w:eastAsia="zh-CN"/>
              </w:rPr>
            </w:pPr>
            <w:r>
              <w:rPr>
                <w:rFonts w:hint="eastAsia"/>
                <w:lang w:val="en-US" w:eastAsia="zh-CN"/>
              </w:rPr>
              <w:t>注：①本工程监理服务费以监理范围内工程竣工结算核定价为计费基数，计费费率按监理单位中标的费率。</w:t>
            </w:r>
          </w:p>
          <w:p w14:paraId="1E7B3F8C">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lang w:val="en-US" w:eastAsia="zh-CN"/>
              </w:rPr>
            </w:pPr>
            <w:r>
              <w:rPr>
                <w:rFonts w:hint="eastAsia"/>
                <w:lang w:val="en-US" w:eastAsia="zh-CN"/>
              </w:rPr>
              <w:t>②本工程监理费率为“固定费率”。监理单位的中标费率不因工程量的增减和政策性调整而改变。在本合同执行完毕、工程竣工验收、决算后，以最终竣工结算总额乘以中标监理费率确定监理服务最终实际收费。</w:t>
            </w:r>
          </w:p>
          <w:p w14:paraId="7D498174">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lang w:val="en-US" w:eastAsia="zh-CN"/>
              </w:rPr>
            </w:pPr>
            <w:r>
              <w:rPr>
                <w:rFonts w:hint="eastAsia"/>
                <w:lang w:val="en-US" w:eastAsia="zh-CN"/>
              </w:rPr>
              <w:t>③本项目计划工期为360日历天，若实际施工工期超过计划工期，监理服务费不增加。</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1B369D11">
            <w:pPr>
              <w:keepNext w:val="0"/>
              <w:keepLines w:val="0"/>
              <w:suppressLineNumbers w:val="0"/>
              <w:spacing w:before="0" w:beforeAutospacing="0" w:after="0" w:afterAutospacing="0" w:line="360" w:lineRule="auto"/>
              <w:ind w:left="0" w:right="0" w:firstLine="0" w:firstLineChars="0"/>
              <w:jc w:val="both"/>
              <w:rPr>
                <w:rFonts w:hint="default"/>
                <w:color w:val="auto"/>
              </w:rPr>
            </w:pPr>
            <w:r>
              <w:rPr>
                <w:rFonts w:hint="eastAsia"/>
                <w:color w:val="auto"/>
              </w:rPr>
              <w:t>□无</w:t>
            </w:r>
          </w:p>
          <w:p w14:paraId="0A141BC0">
            <w:pPr>
              <w:keepNext w:val="0"/>
              <w:keepLines w:val="0"/>
              <w:suppressLineNumbers w:val="0"/>
              <w:spacing w:before="0" w:beforeAutospacing="0" w:after="0" w:afterAutospacing="0" w:line="360" w:lineRule="auto"/>
              <w:ind w:left="0" w:right="0" w:firstLine="0" w:firstLineChars="0"/>
              <w:rPr>
                <w:rFonts w:hint="eastAsia"/>
                <w:color w:val="auto"/>
                <w:highlight w:val="none"/>
              </w:rPr>
            </w:pPr>
            <w:r>
              <w:rPr>
                <w:rFonts w:hint="eastAsia" w:ascii="宋体" w:hAnsi="宋体" w:eastAsia="宋体" w:cs="宋体"/>
                <w:snapToGrid w:val="0"/>
                <w:color w:val="auto"/>
                <w:kern w:val="0"/>
                <w:sz w:val="21"/>
                <w:szCs w:val="21"/>
                <w:highlight w:val="none"/>
              </w:rPr>
              <w:sym w:font="Wingdings 2" w:char="0052"/>
            </w:r>
            <w:r>
              <w:rPr>
                <w:rFonts w:hint="eastAsia"/>
                <w:color w:val="auto"/>
              </w:rPr>
              <w:t>有，最高投标限价：</w:t>
            </w:r>
            <w:r>
              <w:rPr>
                <w:rFonts w:hint="eastAsia"/>
                <w:color w:val="auto"/>
                <w:lang w:val="en-US" w:eastAsia="zh-CN"/>
              </w:rPr>
              <w:t>52万元</w:t>
            </w:r>
            <w:r>
              <w:rPr>
                <w:rFonts w:hint="eastAsia"/>
                <w:color w:val="auto"/>
                <w:lang w:eastAsia="zh-CN"/>
              </w:rPr>
              <w:t>。</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26BB7920">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仿宋" w:hAnsi="仿宋" w:eastAsia="仿宋" w:cs="Segoe UI Symbol"/>
                <w:b/>
                <w:bCs w:val="0"/>
                <w:color w:val="auto"/>
                <w:sz w:val="24"/>
                <w:szCs w:val="24"/>
                <w:highlight w:val="none"/>
              </w:rPr>
              <w:t>监理大纲编制采用：</w:t>
            </w: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9"/>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color w:val="auto"/>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default" w:ascii="仿宋" w:hAnsi="仿宋" w:eastAsia="仿宋" w:cs="宋体"/>
                <w:b/>
                <w:bCs/>
                <w:color w:val="auto"/>
                <w:sz w:val="24"/>
                <w:szCs w:val="24"/>
                <w:highlight w:val="none"/>
              </w:rPr>
              <w:t>4）</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0</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2"/>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tc>
      </w:tr>
    </w:tbl>
    <w:p w14:paraId="24172435">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9" w:name="_Toc129765774"/>
      <w:bookmarkStart w:id="10" w:name="_Toc174523179"/>
      <w:bookmarkStart w:id="11" w:name="_Toc174523090"/>
      <w:r>
        <w:rPr>
          <w:rFonts w:hint="eastAsia" w:ascii="仿宋" w:hAnsi="仿宋" w:eastAsia="仿宋"/>
          <w:color w:val="auto"/>
          <w:sz w:val="24"/>
          <w:szCs w:val="24"/>
          <w:highlight w:val="none"/>
        </w:rPr>
        <w:br w:type="page"/>
      </w:r>
    </w:p>
    <w:p w14:paraId="7E891B26">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9"/>
      <w:bookmarkEnd w:id="10"/>
      <w:bookmarkEnd w:id="11"/>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6"/>
        <w:spacing w:line="360" w:lineRule="auto"/>
        <w:rPr>
          <w:rFonts w:hint="eastAsia" w:ascii="仿宋" w:hAnsi="仿宋" w:eastAsia="仿宋"/>
          <w:color w:val="auto"/>
          <w:sz w:val="24"/>
          <w:szCs w:val="24"/>
          <w:highlight w:val="none"/>
        </w:rPr>
      </w:pPr>
      <w:bookmarkStart w:id="12" w:name="_Toc174523091"/>
      <w:bookmarkStart w:id="13" w:name="_Toc174523180"/>
      <w:bookmarkStart w:id="14" w:name="_Toc129765775"/>
    </w:p>
    <w:p w14:paraId="157640EF">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2"/>
      <w:bookmarkEnd w:id="13"/>
      <w:bookmarkEnd w:id="14"/>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14:paraId="3358B8C1">
      <w:pPr>
        <w:spacing w:line="360" w:lineRule="auto"/>
        <w:rPr>
          <w:rFonts w:hint="eastAsia" w:ascii="仿宋" w:hAnsi="仿宋" w:eastAsia="仿宋"/>
          <w:color w:val="auto"/>
          <w:sz w:val="24"/>
          <w:szCs w:val="24"/>
          <w:highlight w:val="none"/>
        </w:rPr>
      </w:pPr>
    </w:p>
    <w:p w14:paraId="7FA97713">
      <w:pPr>
        <w:pStyle w:val="9"/>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9"/>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9"/>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6"/>
        <w:spacing w:before="0" w:line="360" w:lineRule="auto"/>
        <w:rPr>
          <w:rFonts w:hint="eastAsia" w:ascii="仿宋" w:hAnsi="仿宋" w:eastAsia="仿宋"/>
          <w:color w:val="auto"/>
          <w:sz w:val="24"/>
          <w:szCs w:val="24"/>
          <w:highlight w:val="none"/>
        </w:rPr>
      </w:pPr>
      <w:bookmarkStart w:id="15" w:name="_Toc174523181"/>
      <w:bookmarkStart w:id="16" w:name="_Toc174523092"/>
      <w:bookmarkStart w:id="17" w:name="_Toc129765776"/>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5"/>
      <w:bookmarkEnd w:id="16"/>
      <w:bookmarkEnd w:id="17"/>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w:t>
            </w:r>
            <w:r>
              <w:rPr>
                <w:rFonts w:hint="eastAsia" w:ascii="仿宋" w:hAnsi="仿宋" w:eastAsia="仿宋"/>
                <w:b/>
                <w:color w:val="auto"/>
                <w:sz w:val="24"/>
                <w:szCs w:val="24"/>
                <w:highlight w:val="none"/>
                <w:u w:val="single"/>
                <w:lang w:val="en-US" w:eastAsia="zh-CN"/>
              </w:rPr>
              <w:t>房屋建筑工程</w:t>
            </w:r>
            <w:r>
              <w:rPr>
                <w:rFonts w:hint="eastAsia" w:ascii="仿宋" w:hAnsi="仿宋" w:eastAsia="仿宋"/>
                <w:b/>
                <w:color w:val="auto"/>
                <w:sz w:val="24"/>
                <w:szCs w:val="24"/>
                <w:highlight w:val="none"/>
                <w:u w:val="single"/>
              </w:rPr>
              <w:t>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9"/>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9"/>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9"/>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8" w:name="_Toc129765777"/>
      <w:bookmarkStart w:id="19" w:name="_Toc174523182"/>
      <w:bookmarkStart w:id="20" w:name="_Toc174523093"/>
      <w:r>
        <w:rPr>
          <w:rFonts w:hint="eastAsia" w:ascii="仿宋" w:hAnsi="仿宋" w:eastAsia="仿宋"/>
          <w:color w:val="auto"/>
          <w:sz w:val="24"/>
          <w:szCs w:val="24"/>
          <w:highlight w:val="none"/>
        </w:rPr>
        <w:br w:type="page"/>
      </w:r>
    </w:p>
    <w:p w14:paraId="5672A3C1">
      <w:pPr>
        <w:pStyle w:val="6"/>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8"/>
      <w:bookmarkEnd w:id="19"/>
      <w:bookmarkEnd w:id="20"/>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w:t>
            </w: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人</w:t>
            </w:r>
            <w:r>
              <w:rPr>
                <w:rFonts w:hint="default" w:ascii="仿宋" w:hAnsi="仿宋" w:eastAsia="仿宋"/>
                <w:b/>
                <w:color w:val="auto"/>
                <w:sz w:val="24"/>
                <w:szCs w:val="24"/>
                <w:highlight w:val="none"/>
              </w:rPr>
              <w:t>，为</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专业且需具有有效的《国家注册监理工程师注册执业证书》；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14:paraId="451ADBF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14:paraId="40CF977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24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4"/>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auto"/>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14:paraId="6D1DE6ED">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623FD30">
      <w:pPr>
        <w:spacing w:line="240" w:lineRule="auto"/>
        <w:ind w:firstLine="480" w:firstLineChars="200"/>
        <w:rPr>
          <w:rFonts w:hint="eastAsia" w:ascii="仿宋" w:hAnsi="仿宋" w:eastAsia="仿宋"/>
          <w:b w:val="0"/>
          <w:bCs/>
          <w:color w:val="auto"/>
          <w:sz w:val="24"/>
          <w:szCs w:val="24"/>
          <w:highlight w:val="none"/>
        </w:rPr>
      </w:pPr>
      <w:r>
        <w:rPr>
          <w:rFonts w:hint="eastAsia" w:hAnsi="宋体" w:eastAsia="宋体" w:cs="宋体"/>
          <w:bCs/>
          <w:snapToGrid w:val="0"/>
          <w:color w:val="auto"/>
          <w:sz w:val="24"/>
          <w:szCs w:val="24"/>
          <w:highlight w:val="none"/>
          <w:lang w:val="en-US" w:eastAsia="zh-CN"/>
        </w:rPr>
        <w:t>中标人放弃中标、因不可抗力不能履行合同、不按照招标文件要求提交履约保证金，或者存在影响中标结果的违法行为等情形，不符合中标条件的，招标人可以在中标候选人名单中确定其他中标候选人为中标人，也可以重新组织招标。</w:t>
      </w:r>
    </w:p>
    <w:p w14:paraId="05361A0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5"/>
        <w:spacing w:line="360" w:lineRule="auto"/>
        <w:rPr>
          <w:rFonts w:hint="eastAsia" w:ascii="仿宋" w:hAnsi="仿宋" w:eastAsia="仿宋"/>
          <w:color w:val="auto"/>
          <w:sz w:val="32"/>
          <w:szCs w:val="32"/>
          <w:highlight w:val="none"/>
        </w:rPr>
      </w:pPr>
      <w:bookmarkStart w:id="21" w:name="_Toc174523094"/>
      <w:bookmarkStart w:id="22" w:name="_Toc129765778"/>
      <w:bookmarkStart w:id="23" w:name="_Toc174523183"/>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1"/>
      <w:bookmarkEnd w:id="22"/>
      <w:bookmarkEnd w:id="23"/>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2373"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3905"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Cs w:val="24"/>
                <w:highlight w:val="none"/>
              </w:rPr>
              <w:t>有效的执业资格证书、在社保平台下载的社保缴纳情况或由社保部门盖章出具的证明（如是退休人员，则须提供退休证和与该投标单位签订的有效期内的劳务合同），项目负责人的社会保险的缴纳单位应当是投标人或者投标人不具备独立法人资格的分支机构，如为事业单位附属的投标人参与投标，则须提供投标人所属事业单位为其缴纳社保保险的社保缴费证明材料，同时提供该事业单位出具的投标人为其附属单位的证明材料，复印件或扫描件放入投标文件中。</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2373"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2373"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2373"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3905"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6613A067">
      <w:pPr>
        <w:pStyle w:val="10"/>
        <w:spacing w:line="360" w:lineRule="auto"/>
        <w:rPr>
          <w:rFonts w:hint="eastAsia" w:ascii="仿宋" w:hAnsi="仿宋" w:eastAsia="仿宋"/>
          <w:b w:val="0"/>
          <w:color w:val="auto"/>
          <w:sz w:val="24"/>
          <w:szCs w:val="28"/>
          <w:highlight w:val="yellow"/>
        </w:rPr>
      </w:pPr>
      <w:bookmarkStart w:id="24" w:name="_Toc174523095"/>
      <w:bookmarkStart w:id="25" w:name="_Toc174523184"/>
      <w:r>
        <w:rPr>
          <w:rFonts w:ascii="仿宋" w:hAnsi="仿宋" w:eastAsia="仿宋"/>
          <w:color w:val="auto"/>
          <w:sz w:val="24"/>
          <w:szCs w:val="28"/>
          <w:highlight w:val="yellow"/>
        </w:rPr>
        <w:t>4. 投标文件技术标及商务标评审</w:t>
      </w:r>
      <w:bookmarkEnd w:id="24"/>
      <w:bookmarkEnd w:id="25"/>
    </w:p>
    <w:p w14:paraId="46A371CA">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27FAB810">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6</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60210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7A31C73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4E54C336">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分）</w:t>
            </w:r>
          </w:p>
        </w:tc>
        <w:tc>
          <w:tcPr>
            <w:tcW w:w="7330" w:type="dxa"/>
            <w:vAlign w:val="center"/>
          </w:tcPr>
          <w:p w14:paraId="539AF913">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default" w:ascii="仿宋" w:hAnsi="仿宋" w:eastAsia="仿宋"/>
                <w:color w:val="auto"/>
                <w:sz w:val="24"/>
                <w:szCs w:val="24"/>
                <w:highlight w:val="none"/>
              </w:rPr>
              <w:t>分，内容较齐全完整得</w:t>
            </w:r>
            <w:r>
              <w:rPr>
                <w:rFonts w:hint="eastAsia" w:ascii="仿宋" w:hAnsi="仿宋" w:eastAsia="仿宋"/>
                <w:color w:val="auto"/>
                <w:sz w:val="24"/>
                <w:szCs w:val="24"/>
                <w:highlight w:val="none"/>
                <w:lang w:val="en-US" w:eastAsia="zh-CN"/>
              </w:rPr>
              <w:t>0.31-0.70</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0.01-0.30</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575F3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5A92EDDA">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C76EA85">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default" w:ascii="仿宋" w:hAnsi="仿宋" w:eastAsia="仿宋"/>
                <w:color w:val="auto"/>
                <w:sz w:val="24"/>
                <w:szCs w:val="24"/>
                <w:highlight w:val="none"/>
              </w:rPr>
              <w:t>分，内容较齐全完整得</w:t>
            </w:r>
            <w:r>
              <w:rPr>
                <w:rFonts w:hint="eastAsia" w:ascii="仿宋" w:hAnsi="仿宋" w:eastAsia="仿宋"/>
                <w:color w:val="auto"/>
                <w:sz w:val="24"/>
                <w:szCs w:val="24"/>
                <w:highlight w:val="none"/>
                <w:lang w:val="en-US" w:eastAsia="zh-CN"/>
              </w:rPr>
              <w:t>0.31-0.70</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0.01-0.30</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2233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217EAF30">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68555653">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default" w:ascii="仿宋" w:hAnsi="仿宋" w:eastAsia="仿宋"/>
                <w:color w:val="auto"/>
                <w:sz w:val="24"/>
                <w:szCs w:val="24"/>
                <w:highlight w:val="none"/>
              </w:rPr>
              <w:t>分，内容较齐全完整得</w:t>
            </w:r>
            <w:r>
              <w:rPr>
                <w:rFonts w:hint="eastAsia" w:ascii="仿宋" w:hAnsi="仿宋" w:eastAsia="仿宋"/>
                <w:color w:val="auto"/>
                <w:sz w:val="24"/>
                <w:szCs w:val="24"/>
                <w:highlight w:val="none"/>
                <w:lang w:val="en-US" w:eastAsia="zh-CN"/>
              </w:rPr>
              <w:t>0.31-0.70</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0.01-0.30</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42E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A06CA97">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7F29AD64">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酌情打分，内容全面、工作流程得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default" w:ascii="仿宋" w:hAnsi="仿宋" w:eastAsia="仿宋"/>
                <w:color w:val="auto"/>
                <w:sz w:val="24"/>
                <w:szCs w:val="24"/>
                <w:highlight w:val="none"/>
              </w:rPr>
              <w:t>分，内容较齐全完整得</w:t>
            </w:r>
            <w:r>
              <w:rPr>
                <w:rFonts w:hint="eastAsia" w:ascii="仿宋" w:hAnsi="仿宋" w:eastAsia="仿宋"/>
                <w:color w:val="auto"/>
                <w:sz w:val="24"/>
                <w:szCs w:val="24"/>
                <w:highlight w:val="none"/>
                <w:lang w:val="en-US" w:eastAsia="zh-CN"/>
              </w:rPr>
              <w:t>0.31-0.70</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0.01-0.30</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31B92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5CB931F2">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1B8A1984">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default" w:ascii="仿宋" w:hAnsi="仿宋" w:eastAsia="仿宋"/>
                <w:color w:val="auto"/>
                <w:sz w:val="24"/>
                <w:szCs w:val="24"/>
                <w:highlight w:val="none"/>
              </w:rPr>
              <w:t>分，内容较全面工作较流畅得</w:t>
            </w:r>
            <w:r>
              <w:rPr>
                <w:rFonts w:hint="eastAsia" w:ascii="仿宋" w:hAnsi="仿宋" w:eastAsia="仿宋"/>
                <w:color w:val="auto"/>
                <w:sz w:val="24"/>
                <w:szCs w:val="24"/>
                <w:highlight w:val="none"/>
                <w:lang w:val="en-US" w:eastAsia="zh-CN"/>
              </w:rPr>
              <w:t>0.31-0.70</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0.01-0.30</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01198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Align w:val="center"/>
          </w:tcPr>
          <w:p w14:paraId="0521D22E">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7F11141">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（6）合同与信息管理的措施内容全面、工作流程得当、方案对本项</w:t>
            </w:r>
          </w:p>
          <w:p w14:paraId="76561D2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目有针对性、内容合理完善且具有可操作性。评委据此酌情打分，内</w:t>
            </w:r>
          </w:p>
          <w:p w14:paraId="347D2180">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lang w:eastAsia="zh-CN"/>
              </w:rPr>
            </w:pPr>
            <w:r>
              <w:rPr>
                <w:rFonts w:hint="eastAsia" w:ascii="仿宋" w:hAnsi="仿宋" w:eastAsia="仿宋"/>
                <w:color w:val="auto"/>
                <w:szCs w:val="24"/>
                <w:highlight w:val="none"/>
              </w:rPr>
              <w:t>容全面完整、工作流程完善得</w:t>
            </w:r>
            <w:r>
              <w:rPr>
                <w:rFonts w:hint="eastAsia" w:ascii="仿宋" w:hAnsi="仿宋" w:eastAsia="仿宋" w:cs="宋体"/>
                <w:color w:val="auto"/>
                <w:sz w:val="24"/>
                <w:szCs w:val="24"/>
                <w:highlight w:val="none"/>
                <w:lang w:val="en-US" w:eastAsia="zh-CN"/>
              </w:rPr>
              <w:t>0.71</w:t>
            </w:r>
            <w:r>
              <w:rPr>
                <w:rFonts w:hint="eastAsia" w:ascii="仿宋" w:hAnsi="仿宋" w:eastAsia="仿宋" w:cs="宋体"/>
                <w:color w:val="auto"/>
                <w:sz w:val="24"/>
                <w:szCs w:val="24"/>
                <w:highlight w:val="none"/>
              </w:rPr>
              <w:t>-</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.0</w:t>
            </w:r>
            <w:r>
              <w:rPr>
                <w:rFonts w:hint="eastAsia" w:ascii="仿宋" w:hAnsi="仿宋" w:eastAsia="仿宋" w:cs="宋体"/>
                <w:color w:val="auto"/>
                <w:sz w:val="24"/>
                <w:szCs w:val="24"/>
                <w:highlight w:val="none"/>
                <w:lang w:val="en-US" w:eastAsia="zh-CN"/>
              </w:rPr>
              <w:t>0</w:t>
            </w:r>
            <w:r>
              <w:rPr>
                <w:rFonts w:hint="eastAsia" w:ascii="仿宋" w:hAnsi="仿宋" w:eastAsia="仿宋"/>
                <w:color w:val="auto"/>
                <w:szCs w:val="24"/>
                <w:highlight w:val="none"/>
              </w:rPr>
              <w:t>分，内容较全面较完整、工作较流畅得</w:t>
            </w:r>
            <w:r>
              <w:rPr>
                <w:rFonts w:hint="eastAsia" w:ascii="仿宋" w:hAnsi="仿宋" w:eastAsia="仿宋"/>
                <w:color w:val="auto"/>
                <w:sz w:val="24"/>
                <w:szCs w:val="24"/>
                <w:highlight w:val="none"/>
                <w:lang w:val="en-US" w:eastAsia="zh-CN"/>
              </w:rPr>
              <w:t>0.31-0.70</w:t>
            </w:r>
            <w:r>
              <w:rPr>
                <w:rFonts w:hint="eastAsia" w:ascii="仿宋" w:hAnsi="仿宋" w:eastAsia="仿宋"/>
                <w:color w:val="auto"/>
                <w:szCs w:val="24"/>
                <w:highlight w:val="none"/>
              </w:rPr>
              <w:t>分，内容一般、工作流程一般</w:t>
            </w:r>
            <w:r>
              <w:rPr>
                <w:rFonts w:hint="eastAsia" w:ascii="仿宋" w:hAnsi="仿宋" w:eastAsia="仿宋"/>
                <w:color w:val="auto"/>
                <w:sz w:val="24"/>
                <w:szCs w:val="24"/>
                <w:highlight w:val="none"/>
                <w:lang w:val="en-US" w:eastAsia="zh-CN"/>
              </w:rPr>
              <w:t>0.01-0.30</w:t>
            </w:r>
            <w:r>
              <w:rPr>
                <w:rFonts w:hint="eastAsia" w:ascii="仿宋" w:hAnsi="仿宋" w:eastAsia="仿宋"/>
                <w:color w:val="auto"/>
                <w:szCs w:val="24"/>
                <w:highlight w:val="none"/>
              </w:rPr>
              <w:t>分，不提供不得分。</w:t>
            </w:r>
          </w:p>
        </w:tc>
      </w:tr>
    </w:tbl>
    <w:p w14:paraId="2A72F128">
      <w:pPr>
        <w:pStyle w:val="2"/>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Cs w:val="24"/>
          <w:highlight w:val="none"/>
        </w:rPr>
        <w:t>①</w:t>
      </w:r>
      <w:r>
        <w:rPr>
          <w:rFonts w:hint="eastAsia" w:ascii="仿宋" w:hAnsi="仿宋" w:eastAsia="仿宋"/>
          <w:b/>
          <w:bCs/>
          <w:color w:val="auto"/>
          <w:sz w:val="24"/>
          <w:szCs w:val="24"/>
          <w:highlight w:val="none"/>
          <w:lang w:val="en-US" w:eastAsia="zh-CN"/>
        </w:rPr>
        <w:t>投标人编制的监理大纲不超过200页，否则酌情扣分。</w:t>
      </w:r>
    </w:p>
    <w:p w14:paraId="4259883F">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 xml:space="preserve">②评委对投标单位监理大纲得分按各分项评委打分平均值汇总后计取，各分项平均值及总得分均四舍五入保留至小数点后两位。对评分在 90%以上（含）、60%以下（含）的，该评委要提出充足的理由，并在评标报告中书面记录。 </w:t>
      </w:r>
    </w:p>
    <w:p w14:paraId="73467F13">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 xml:space="preserve">例：某监理大纲共设 </w:t>
      </w:r>
      <w:r>
        <w:rPr>
          <w:rFonts w:hint="eastAsia" w:ascii="仿宋" w:hAnsi="仿宋" w:eastAsia="仿宋" w:cs="宋体"/>
          <w:b/>
          <w:bCs/>
          <w:color w:val="auto"/>
          <w:szCs w:val="24"/>
          <w:highlight w:val="none"/>
          <w:lang w:val="en-US" w:eastAsia="zh-CN"/>
        </w:rPr>
        <w:t>6</w:t>
      </w:r>
      <w:r>
        <w:rPr>
          <w:rFonts w:hint="eastAsia" w:ascii="仿宋" w:hAnsi="仿宋" w:eastAsia="仿宋" w:cs="宋体"/>
          <w:b/>
          <w:bCs/>
          <w:color w:val="auto"/>
          <w:szCs w:val="24"/>
          <w:highlight w:val="none"/>
        </w:rPr>
        <w:t xml:space="preserve">个分项评审因素，A 公司得分=分项 1（所有评委打分平均值）+分项 2（所有评委打分平均值）+......+分项 </w:t>
      </w:r>
      <w:r>
        <w:rPr>
          <w:rFonts w:hint="eastAsia" w:ascii="仿宋" w:hAnsi="仿宋" w:eastAsia="仿宋" w:cs="宋体"/>
          <w:b/>
          <w:bCs/>
          <w:color w:val="auto"/>
          <w:szCs w:val="24"/>
          <w:highlight w:val="none"/>
          <w:lang w:val="en-US" w:eastAsia="zh-CN"/>
        </w:rPr>
        <w:t>6</w:t>
      </w:r>
      <w:r>
        <w:rPr>
          <w:rFonts w:hint="eastAsia" w:ascii="仿宋" w:hAnsi="仿宋" w:eastAsia="仿宋" w:cs="宋体"/>
          <w:b/>
          <w:bCs/>
          <w:color w:val="auto"/>
          <w:szCs w:val="24"/>
          <w:highlight w:val="none"/>
        </w:rPr>
        <w:t>（所有评委打分平均值）。</w:t>
      </w:r>
    </w:p>
    <w:p w14:paraId="5E019409">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w:t>
      </w:r>
      <w:r>
        <w:rPr>
          <w:rFonts w:hint="eastAsia" w:ascii="仿宋" w:hAnsi="仿宋" w:eastAsia="仿宋"/>
          <w:b/>
          <w:bCs/>
          <w:color w:val="auto"/>
          <w:sz w:val="24"/>
          <w:szCs w:val="24"/>
          <w:highlight w:val="none"/>
          <w:lang w:val="en-US" w:eastAsia="zh-CN"/>
        </w:rPr>
        <w:t>2</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94</w:t>
      </w:r>
      <w:r>
        <w:rPr>
          <w:rFonts w:hint="eastAsia" w:ascii="仿宋" w:hAnsi="仿宋" w:eastAsia="仿宋"/>
          <w:b/>
          <w:bCs/>
          <w:color w:val="auto"/>
          <w:sz w:val="24"/>
          <w:szCs w:val="24"/>
          <w:highlight w:val="none"/>
        </w:rPr>
        <w:t>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CB4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6027E7C2">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7702242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94</w:t>
            </w:r>
            <w:r>
              <w:rPr>
                <w:rFonts w:hint="eastAsia" w:ascii="仿宋" w:hAnsi="仿宋" w:eastAsia="仿宋"/>
                <w:b/>
                <w:color w:val="auto"/>
                <w:sz w:val="24"/>
                <w:szCs w:val="24"/>
                <w:highlight w:val="none"/>
              </w:rPr>
              <w:t>分）</w:t>
            </w:r>
          </w:p>
        </w:tc>
        <w:tc>
          <w:tcPr>
            <w:tcW w:w="7347" w:type="dxa"/>
            <w:vAlign w:val="center"/>
          </w:tcPr>
          <w:p w14:paraId="3593D07D">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4.</w:t>
            </w:r>
            <w:r>
              <w:rPr>
                <w:rFonts w:hint="eastAsia" w:ascii="仿宋" w:hAnsi="仿宋" w:eastAsia="仿宋" w:cs="仿宋_GB2312"/>
                <w:b/>
                <w:bCs/>
                <w:color w:val="auto"/>
                <w:sz w:val="24"/>
                <w:szCs w:val="24"/>
                <w:highlight w:val="none"/>
                <w:lang w:val="en-US" w:eastAsia="zh-CN"/>
              </w:rPr>
              <w:t>2</w:t>
            </w:r>
            <w:r>
              <w:rPr>
                <w:rFonts w:hint="eastAsia" w:ascii="仿宋" w:hAnsi="仿宋" w:eastAsia="仿宋" w:cs="仿宋_GB2312"/>
                <w:b/>
                <w:bCs/>
                <w:color w:val="auto"/>
                <w:sz w:val="24"/>
                <w:szCs w:val="24"/>
                <w:highlight w:val="none"/>
              </w:rPr>
              <w:t xml:space="preserve">.1 以下所有涉及报价计算的结果均按四舍五入原则保留两位小数： </w:t>
            </w:r>
          </w:p>
          <w:p w14:paraId="20AD101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14:paraId="68E9538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（2）低于最高投标限价的 </w:t>
            </w:r>
            <w:r>
              <w:rPr>
                <w:rFonts w:hint="eastAsia" w:ascii="仿宋" w:hAnsi="仿宋" w:eastAsia="仿宋" w:cs="仿宋_GB2312"/>
                <w:b/>
                <w:bCs/>
                <w:color w:val="auto"/>
                <w:sz w:val="24"/>
                <w:szCs w:val="24"/>
                <w:highlight w:val="none"/>
                <w:lang w:val="en-US" w:eastAsia="zh-CN"/>
              </w:rPr>
              <w:t>78</w:t>
            </w:r>
            <w:r>
              <w:rPr>
                <w:rFonts w:hint="eastAsia" w:ascii="仿宋" w:hAnsi="仿宋" w:eastAsia="仿宋" w:cs="仿宋_GB2312"/>
                <w:b/>
                <w:bCs/>
                <w:color w:val="auto"/>
                <w:sz w:val="24"/>
                <w:szCs w:val="24"/>
                <w:highlight w:val="none"/>
              </w:rPr>
              <w:t>%（不含本数）或高于最高投标限价的</w:t>
            </w:r>
            <w:r>
              <w:rPr>
                <w:rFonts w:hint="eastAsia" w:ascii="仿宋" w:hAnsi="仿宋" w:eastAsia="仿宋" w:cs="仿宋_GB2312"/>
                <w:b/>
                <w:bCs/>
                <w:color w:val="auto"/>
                <w:sz w:val="24"/>
                <w:szCs w:val="24"/>
                <w:highlight w:val="none"/>
                <w:lang w:val="en-US" w:eastAsia="zh-CN"/>
              </w:rPr>
              <w:t>88</w:t>
            </w:r>
            <w:r>
              <w:rPr>
                <w:rFonts w:hint="eastAsia" w:ascii="仿宋" w:hAnsi="仿宋" w:eastAsia="仿宋" w:cs="仿宋_GB2312"/>
                <w:b/>
                <w:bCs/>
                <w:color w:val="auto"/>
                <w:sz w:val="24"/>
                <w:szCs w:val="24"/>
                <w:highlight w:val="none"/>
              </w:rPr>
              <w:t xml:space="preserve">%（不含本数）的投标报价，均不参与以下平均值的计算。 </w:t>
            </w:r>
          </w:p>
          <w:p w14:paraId="00B5A2B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14:paraId="07CC12B2">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14:paraId="276E6264">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14:paraId="0FA2DA0F">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14:paraId="7533E3B5">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B：对第一次算术平均 b 值（含）和最高投标限价的 80%（含）之间的投标报价进行第二次平均，第二次平均值即为评标基准值 B。（若第一次算术平均 b 值（含）和最高投标限价的 80%（含）之间没有投标报价，则以最高投标限价的 80%为评标基准值 B。）</w:t>
            </w:r>
            <w:r>
              <w:rPr>
                <w:rFonts w:hint="eastAsia" w:ascii="仿宋" w:hAnsi="仿宋" w:eastAsia="仿宋" w:cs="仿宋_GB2312"/>
                <w:b/>
                <w:bCs/>
                <w:color w:val="auto"/>
                <w:sz w:val="24"/>
                <w:szCs w:val="24"/>
                <w:highlight w:val="none"/>
                <w:lang w:eastAsia="zh-CN"/>
              </w:rPr>
              <w:t>；</w:t>
            </w:r>
          </w:p>
          <w:p w14:paraId="2BCE89A2">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94</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94</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14:paraId="75D92883">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2"/>
        <w:spacing w:after="0" w:line="360" w:lineRule="auto"/>
        <w:ind w:left="0" w:leftChars="0" w:firstLine="422"/>
        <w:rPr>
          <w:rFonts w:hint="eastAsia" w:ascii="仿宋" w:hAnsi="仿宋" w:eastAsia="仿宋"/>
          <w:b/>
          <w:bCs/>
          <w:color w:val="auto"/>
          <w:sz w:val="24"/>
          <w:szCs w:val="24"/>
          <w:highlight w:val="none"/>
        </w:rPr>
      </w:pPr>
      <w:bookmarkStart w:id="26"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2"/>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26"/>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27"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27"/>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50E15CF7">
      <w:pPr>
        <w:pStyle w:val="2"/>
        <w:spacing w:after="0" w:line="360" w:lineRule="auto"/>
        <w:ind w:left="0" w:leftChars="0" w:firstLine="648" w:firstLineChars="27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 xml:space="preserve">8.1 </w:t>
      </w: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p>
    <w:p w14:paraId="17ABA015">
      <w:pPr>
        <w:pageBreakBefore w:val="0"/>
        <w:kinsoku/>
        <w:overflowPunct/>
        <w:topLinePunct w:val="0"/>
        <w:autoSpaceDE/>
        <w:autoSpaceDN/>
        <w:bidi w:val="0"/>
        <w:snapToGrid w:val="0"/>
        <w:spacing w:line="240" w:lineRule="auto"/>
        <w:ind w:firstLine="482" w:firstLineChars="200"/>
        <w:textAlignment w:val="auto"/>
        <w:rPr>
          <w:rFonts w:ascii="宋体" w:hAnsi="宋体" w:eastAsia="宋体" w:cs="宋体"/>
          <w:color w:val="auto"/>
          <w:sz w:val="24"/>
          <w:szCs w:val="24"/>
        </w:rPr>
      </w:pPr>
      <w:r>
        <w:rPr>
          <w:rFonts w:hint="eastAsia" w:ascii="宋体" w:hAnsi="宋体" w:eastAsia="宋体" w:cs="宋体"/>
          <w:b/>
          <w:bCs/>
          <w:color w:val="auto"/>
          <w:sz w:val="24"/>
          <w:szCs w:val="24"/>
          <w:lang w:val="en-US" w:eastAsia="zh-CN"/>
        </w:rPr>
        <w:t xml:space="preserve">8.2 </w:t>
      </w:r>
      <w:r>
        <w:rPr>
          <w:rFonts w:ascii="宋体" w:hAnsi="宋体" w:eastAsia="宋体" w:cs="宋体"/>
          <w:b/>
          <w:bCs/>
          <w:color w:val="auto"/>
          <w:sz w:val="24"/>
          <w:szCs w:val="24"/>
        </w:rPr>
        <w:t xml:space="preserve"> 异议与投诉。</w:t>
      </w:r>
      <w:r>
        <w:rPr>
          <w:rFonts w:ascii="宋体" w:hAnsi="宋体" w:eastAsia="宋体" w:cs="宋体"/>
          <w:color w:val="auto"/>
          <w:sz w:val="24"/>
          <w:szCs w:val="24"/>
        </w:rPr>
        <w:t>中标候选人对定标过程或定标结果有异议的可在</w:t>
      </w:r>
      <w:r>
        <w:rPr>
          <w:rFonts w:hint="eastAsia" w:ascii="宋体" w:hAnsi="宋体" w:eastAsia="宋体" w:cs="宋体"/>
          <w:color w:val="auto"/>
          <w:sz w:val="24"/>
          <w:szCs w:val="24"/>
          <w:lang w:val="en-US" w:eastAsia="zh-CN"/>
        </w:rPr>
        <w:t>3</w:t>
      </w:r>
      <w:r>
        <w:rPr>
          <w:rFonts w:ascii="宋体" w:hAnsi="宋体" w:eastAsia="宋体" w:cs="宋体"/>
          <w:color w:val="auto"/>
          <w:sz w:val="24"/>
          <w:szCs w:val="24"/>
        </w:rPr>
        <w:t>日内向招标人提出，对招标人答复不满意的可向招标投标监管部门投诉。中标候选人公示期间 已经处理过的异议和投诉，不得在中标人结果公告期间以相同理由再次提出。</w:t>
      </w:r>
    </w:p>
    <w:p w14:paraId="0E8D8495">
      <w:pPr>
        <w:pageBreakBefore w:val="0"/>
        <w:kinsoku/>
        <w:overflowPunct/>
        <w:topLinePunct w:val="0"/>
        <w:autoSpaceDE/>
        <w:autoSpaceDN/>
        <w:bidi w:val="0"/>
        <w:snapToGrid w:val="0"/>
        <w:spacing w:line="240" w:lineRule="auto"/>
        <w:ind w:firstLine="480" w:firstLineChars="200"/>
        <w:textAlignment w:val="auto"/>
        <w:rPr>
          <w:rFonts w:ascii="宋体" w:hAnsi="宋体" w:eastAsia="宋体" w:cs="宋体"/>
          <w:color w:val="auto"/>
          <w:sz w:val="24"/>
          <w:szCs w:val="24"/>
        </w:rPr>
      </w:pPr>
      <w:r>
        <w:rPr>
          <w:rFonts w:ascii="宋体" w:hAnsi="宋体" w:eastAsia="宋体" w:cs="宋体"/>
          <w:color w:val="auto"/>
          <w:sz w:val="24"/>
          <w:szCs w:val="24"/>
        </w:rPr>
        <w:t xml:space="preserve">投诉改变中标结果的，重新发布中标结果公告。 </w:t>
      </w:r>
    </w:p>
    <w:p w14:paraId="554CC207">
      <w:pPr>
        <w:pStyle w:val="2"/>
        <w:spacing w:after="0" w:line="360" w:lineRule="auto"/>
        <w:ind w:left="0" w:leftChars="0" w:firstLine="482" w:firstLineChars="200"/>
        <w:rPr>
          <w:rFonts w:hint="eastAsia" w:ascii="仿宋" w:hAnsi="仿宋" w:eastAsia="仿宋"/>
          <w:color w:val="auto"/>
          <w:sz w:val="32"/>
          <w:szCs w:val="28"/>
          <w:highlight w:val="none"/>
        </w:rPr>
      </w:pPr>
      <w:r>
        <w:rPr>
          <w:rFonts w:hint="eastAsia" w:ascii="宋体" w:hAnsi="宋体" w:eastAsia="宋体" w:cs="宋体"/>
          <w:b/>
          <w:bCs/>
          <w:color w:val="auto"/>
          <w:sz w:val="24"/>
          <w:szCs w:val="24"/>
          <w:lang w:val="en-US" w:eastAsia="zh-CN"/>
        </w:rPr>
        <w:t xml:space="preserve">8.3 </w:t>
      </w:r>
      <w:r>
        <w:rPr>
          <w:rFonts w:ascii="宋体" w:hAnsi="宋体" w:eastAsia="宋体" w:cs="宋体"/>
          <w:color w:val="auto"/>
          <w:sz w:val="24"/>
          <w:szCs w:val="24"/>
        </w:rPr>
        <w:t>中标人放弃中标</w:t>
      </w:r>
      <w:r>
        <w:rPr>
          <w:rFonts w:hint="eastAsia" w:ascii="宋体" w:hAnsi="宋体" w:eastAsia="宋体" w:cs="宋体"/>
          <w:color w:val="auto"/>
          <w:sz w:val="24"/>
          <w:szCs w:val="24"/>
          <w:lang w:eastAsia="zh-CN"/>
        </w:rPr>
        <w:t>、</w:t>
      </w:r>
      <w:r>
        <w:rPr>
          <w:rFonts w:ascii="宋体" w:hAnsi="宋体" w:eastAsia="宋体" w:cs="宋体"/>
          <w:color w:val="auto"/>
          <w:sz w:val="24"/>
          <w:szCs w:val="24"/>
        </w:rPr>
        <w:t>因不可抗力不能履行合同、不按照招标文件要求提交履约保证金，或者存在影响中标结果的违法行为等情形，不符合中标条件的，招标人可以在中标候选人名单中确定其他中标候选人为中标人，也可以重新组织招标。</w:t>
      </w:r>
      <w:r>
        <w:rPr>
          <w:rFonts w:ascii="仿宋" w:hAnsi="仿宋" w:eastAsia="仿宋"/>
          <w:color w:val="auto"/>
          <w:sz w:val="32"/>
          <w:szCs w:val="28"/>
          <w:highlight w:val="none"/>
        </w:rPr>
        <w:br w:type="page"/>
      </w:r>
    </w:p>
    <w:p w14:paraId="79B55264">
      <w:pPr>
        <w:pStyle w:val="5"/>
        <w:spacing w:line="360" w:lineRule="auto"/>
        <w:rPr>
          <w:rFonts w:hint="eastAsia" w:ascii="仿宋" w:hAnsi="仿宋" w:eastAsia="仿宋"/>
          <w:color w:val="auto"/>
          <w:sz w:val="32"/>
          <w:szCs w:val="40"/>
          <w:highlight w:val="none"/>
        </w:rPr>
      </w:pPr>
      <w:bookmarkStart w:id="28" w:name="_Toc129765779"/>
      <w:bookmarkStart w:id="29" w:name="_Toc174523097"/>
      <w:bookmarkStart w:id="30" w:name="_Toc174523186"/>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28"/>
      <w:bookmarkEnd w:id="29"/>
      <w:bookmarkEnd w:id="30"/>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6"/>
        <w:spacing w:line="360" w:lineRule="auto"/>
        <w:rPr>
          <w:rFonts w:hint="eastAsia" w:ascii="仿宋" w:hAnsi="仿宋" w:eastAsia="仿宋"/>
          <w:color w:val="auto"/>
          <w:sz w:val="32"/>
          <w:szCs w:val="32"/>
          <w:highlight w:val="none"/>
        </w:rPr>
      </w:pPr>
      <w:bookmarkStart w:id="31" w:name="_Toc174523187"/>
      <w:bookmarkStart w:id="32" w:name="_Toc174523098"/>
      <w:bookmarkStart w:id="33" w:name="_Toc129765780"/>
      <w:r>
        <w:rPr>
          <w:rFonts w:hint="eastAsia" w:ascii="仿宋" w:hAnsi="仿宋" w:eastAsia="仿宋"/>
          <w:color w:val="auto"/>
          <w:sz w:val="32"/>
          <w:szCs w:val="32"/>
          <w:highlight w:val="none"/>
        </w:rPr>
        <w:t>第一部分  协议书</w:t>
      </w:r>
      <w:bookmarkEnd w:id="31"/>
      <w:bookmarkEnd w:id="32"/>
      <w:bookmarkEnd w:id="33"/>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color w:val="auto"/>
          <w:kern w:val="2"/>
          <w:sz w:val="24"/>
          <w:szCs w:val="24"/>
          <w:highlight w:val="none"/>
          <w:u w:val="single"/>
          <w:lang w:val="en-US" w:eastAsia="zh-CN" w:bidi="ar"/>
        </w:rPr>
        <w:t>铜陵大通美食文化广场有限公司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4" w:name="_Toc174523188"/>
      <w:bookmarkStart w:id="35" w:name="_Toc174523099"/>
      <w:r>
        <w:rPr>
          <w:rFonts w:hint="eastAsia" w:ascii="仿宋" w:hAnsi="仿宋" w:eastAsia="仿宋"/>
          <w:b/>
          <w:color w:val="auto"/>
          <w:sz w:val="24"/>
          <w:szCs w:val="24"/>
          <w:highlight w:val="none"/>
        </w:rPr>
        <w:t>一、工程概况</w:t>
      </w:r>
      <w:bookmarkEnd w:id="34"/>
      <w:bookmarkEnd w:id="35"/>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铜陵市郊区医养结合一体化建设项目监理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郊区</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s="宋体"/>
          <w:color w:val="auto"/>
          <w:sz w:val="24"/>
          <w:szCs w:val="24"/>
          <w:highlight w:val="none"/>
          <w:lang w:val="en-US" w:eastAsia="zh-CN"/>
        </w:rPr>
        <w:t>本项目主要建设内容</w:t>
      </w:r>
      <w:r>
        <w:rPr>
          <w:rFonts w:hint="eastAsia" w:ascii="仿宋" w:hAnsi="仿宋" w:eastAsia="仿宋" w:cs="宋体"/>
          <w:color w:val="auto"/>
          <w:sz w:val="24"/>
          <w:szCs w:val="24"/>
          <w:highlight w:val="none"/>
        </w:rPr>
        <w:t>对主体工程改造及室内外装饰、水电照明管线改造、卫生间装饰及设施，配置家具电器、空调等工程及购置医疗设备52台（套）。项目建安工程费约</w:t>
      </w:r>
      <w:r>
        <w:rPr>
          <w:rFonts w:hint="eastAsia" w:ascii="仿宋" w:hAnsi="仿宋" w:eastAsia="仿宋" w:cs="宋体"/>
          <w:color w:val="auto"/>
          <w:sz w:val="24"/>
          <w:szCs w:val="24"/>
          <w:highlight w:val="none"/>
          <w:lang w:val="en-US" w:eastAsia="zh-CN"/>
        </w:rPr>
        <w:t>5201.6515万元。</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lang w:eastAsia="zh-CN"/>
        </w:rPr>
        <w:t>项目建安工程费</w:t>
      </w:r>
      <w:r>
        <w:rPr>
          <w:rFonts w:hint="eastAsia" w:ascii="仿宋" w:hAnsi="仿宋" w:eastAsia="仿宋"/>
          <w:color w:val="auto"/>
          <w:sz w:val="24"/>
          <w:szCs w:val="24"/>
          <w:highlight w:val="none"/>
          <w:u w:val="single"/>
          <w:lang w:val="en-US" w:eastAsia="zh-CN"/>
        </w:rPr>
        <w:t>5201.6515万元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 工程施工质量目标：</w:t>
      </w:r>
      <w:r>
        <w:rPr>
          <w:rFonts w:hint="eastAsia" w:ascii="仿宋" w:hAnsi="仿宋" w:eastAsia="仿宋"/>
          <w:color w:val="auto"/>
          <w:sz w:val="24"/>
          <w:szCs w:val="24"/>
          <w:highlight w:val="none"/>
          <w:u w:val="single"/>
          <w:lang w:val="en-US" w:eastAsia="zh-CN"/>
        </w:rPr>
        <w:t>合格</w:t>
      </w:r>
    </w:p>
    <w:p w14:paraId="5585D235">
      <w:pPr>
        <w:pStyle w:val="10"/>
        <w:spacing w:line="360" w:lineRule="auto"/>
        <w:ind w:firstLine="482"/>
        <w:rPr>
          <w:rFonts w:hint="eastAsia" w:ascii="仿宋" w:hAnsi="仿宋" w:eastAsia="仿宋"/>
          <w:b w:val="0"/>
          <w:color w:val="auto"/>
          <w:sz w:val="24"/>
          <w:szCs w:val="24"/>
          <w:highlight w:val="none"/>
        </w:rPr>
      </w:pPr>
      <w:bookmarkStart w:id="36" w:name="_Toc174523100"/>
      <w:bookmarkStart w:id="37" w:name="_Toc174523189"/>
      <w:r>
        <w:rPr>
          <w:rFonts w:hint="eastAsia" w:ascii="仿宋" w:hAnsi="仿宋" w:eastAsia="仿宋"/>
          <w:color w:val="auto"/>
          <w:sz w:val="24"/>
          <w:szCs w:val="24"/>
          <w:highlight w:val="none"/>
        </w:rPr>
        <w:t>二、词语限定</w:t>
      </w:r>
      <w:bookmarkEnd w:id="36"/>
      <w:bookmarkEnd w:id="37"/>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38" w:name="_Toc174523190"/>
      <w:bookmarkStart w:id="39" w:name="_Toc174523101"/>
      <w:r>
        <w:rPr>
          <w:rFonts w:hint="eastAsia" w:ascii="仿宋" w:hAnsi="仿宋" w:eastAsia="仿宋"/>
          <w:b/>
          <w:color w:val="auto"/>
          <w:sz w:val="24"/>
          <w:szCs w:val="24"/>
          <w:highlight w:val="none"/>
        </w:rPr>
        <w:t>三、组成本合同的文件</w:t>
      </w:r>
      <w:bookmarkEnd w:id="38"/>
      <w:bookmarkEnd w:id="39"/>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0" w:name="_Toc174523102"/>
      <w:bookmarkStart w:id="41" w:name="_Toc174523191"/>
      <w:r>
        <w:rPr>
          <w:rFonts w:hint="eastAsia" w:ascii="仿宋" w:hAnsi="仿宋" w:eastAsia="仿宋"/>
          <w:b/>
          <w:color w:val="auto"/>
          <w:sz w:val="24"/>
          <w:szCs w:val="24"/>
          <w:highlight w:val="none"/>
        </w:rPr>
        <w:t>四、总监理工程师</w:t>
      </w:r>
      <w:bookmarkEnd w:id="40"/>
      <w:bookmarkEnd w:id="41"/>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2" w:name="_Toc174523192"/>
      <w:bookmarkStart w:id="43" w:name="_Toc174523103"/>
      <w:r>
        <w:rPr>
          <w:rFonts w:hint="eastAsia" w:ascii="仿宋" w:hAnsi="仿宋" w:eastAsia="仿宋"/>
          <w:b/>
          <w:color w:val="auto"/>
          <w:sz w:val="24"/>
          <w:szCs w:val="24"/>
          <w:highlight w:val="none"/>
        </w:rPr>
        <w:t>五、签约合同价与合同价格形式</w:t>
      </w:r>
      <w:bookmarkEnd w:id="42"/>
      <w:bookmarkEnd w:id="43"/>
    </w:p>
    <w:p w14:paraId="41EE06E2">
      <w:pPr>
        <w:spacing w:line="360" w:lineRule="auto"/>
        <w:ind w:firstLine="664" w:firstLineChars="277"/>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本项目中标监理服务费不作为支付监理服务费及结算依据，实际监理服务费按费率计算，即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5201.6515万元（项目建安工程费）</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4" w:name="_Toc174523104"/>
      <w:bookmarkStart w:id="45" w:name="_Toc174523193"/>
      <w:r>
        <w:rPr>
          <w:rFonts w:hint="eastAsia" w:ascii="仿宋" w:hAnsi="仿宋" w:eastAsia="仿宋"/>
          <w:b/>
          <w:color w:val="auto"/>
          <w:sz w:val="24"/>
          <w:szCs w:val="24"/>
          <w:highlight w:val="none"/>
        </w:rPr>
        <w:t>六、服务期限</w:t>
      </w:r>
      <w:bookmarkEnd w:id="44"/>
      <w:bookmarkEnd w:id="45"/>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46" w:name="_Toc174523194"/>
      <w:bookmarkStart w:id="47" w:name="_Toc174523105"/>
      <w:r>
        <w:rPr>
          <w:rFonts w:hint="eastAsia" w:ascii="仿宋" w:hAnsi="仿宋" w:eastAsia="仿宋"/>
          <w:b/>
          <w:color w:val="auto"/>
          <w:sz w:val="24"/>
          <w:szCs w:val="24"/>
          <w:highlight w:val="none"/>
        </w:rPr>
        <w:t xml:space="preserve"> 监理期限：</w:t>
      </w:r>
      <w:bookmarkEnd w:id="46"/>
      <w:bookmarkEnd w:id="47"/>
      <w:r>
        <w:rPr>
          <w:rFonts w:hint="eastAsia" w:ascii="仿宋" w:hAnsi="仿宋" w:eastAsia="仿宋"/>
          <w:b/>
          <w:color w:val="auto"/>
          <w:sz w:val="24"/>
          <w:szCs w:val="24"/>
          <w:highlight w:val="none"/>
          <w:lang w:eastAsia="zh-CN"/>
        </w:rPr>
        <w:t>自合同生效之日起至缺陷责任期结束并交付之日止（设计及施工工期360日历天，缺陷责任期24个月）</w:t>
      </w:r>
      <w:r>
        <w:rPr>
          <w:rFonts w:hint="eastAsia" w:ascii="仿宋" w:hAnsi="仿宋" w:eastAsia="仿宋"/>
          <w:bCs/>
          <w:color w:val="auto"/>
          <w:sz w:val="24"/>
          <w:szCs w:val="24"/>
          <w:highlight w:val="none"/>
          <w:lang w:eastAsia="zh-CN"/>
        </w:rPr>
        <w:t>。</w:t>
      </w:r>
    </w:p>
    <w:p w14:paraId="60BDD1C4">
      <w:pPr>
        <w:spacing w:line="360" w:lineRule="auto"/>
        <w:ind w:firstLine="477" w:firstLineChars="198"/>
        <w:outlineLvl w:val="2"/>
        <w:rPr>
          <w:rFonts w:hint="eastAsia" w:ascii="仿宋" w:hAnsi="仿宋" w:eastAsia="仿宋"/>
          <w:b/>
          <w:color w:val="auto"/>
          <w:sz w:val="24"/>
          <w:szCs w:val="24"/>
          <w:highlight w:val="none"/>
        </w:rPr>
      </w:pPr>
      <w:bookmarkStart w:id="48" w:name="_Toc174523200"/>
      <w:bookmarkStart w:id="49" w:name="_Toc174523111"/>
      <w:r>
        <w:rPr>
          <w:rFonts w:hint="eastAsia" w:ascii="仿宋" w:hAnsi="仿宋" w:eastAsia="仿宋"/>
          <w:b/>
          <w:color w:val="auto"/>
          <w:sz w:val="24"/>
          <w:szCs w:val="24"/>
          <w:highlight w:val="none"/>
        </w:rPr>
        <w:t>七、双方承诺</w:t>
      </w:r>
      <w:bookmarkEnd w:id="48"/>
      <w:bookmarkEnd w:id="49"/>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50" w:name="_Toc174523112"/>
      <w:bookmarkStart w:id="51" w:name="_Toc174523201"/>
      <w:r>
        <w:rPr>
          <w:rFonts w:hint="eastAsia" w:ascii="仿宋" w:hAnsi="仿宋" w:eastAsia="仿宋"/>
          <w:b/>
          <w:color w:val="auto"/>
          <w:sz w:val="24"/>
          <w:szCs w:val="24"/>
          <w:highlight w:val="none"/>
        </w:rPr>
        <w:t>八、合同订立</w:t>
      </w:r>
      <w:bookmarkEnd w:id="50"/>
      <w:bookmarkEnd w:id="51"/>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10"/>
        <w:spacing w:line="360" w:lineRule="auto"/>
        <w:ind w:firstLine="560"/>
        <w:rPr>
          <w:rFonts w:hint="eastAsia" w:ascii="仿宋" w:hAnsi="仿宋" w:eastAsia="仿宋"/>
          <w:bCs w:val="0"/>
          <w:color w:val="auto"/>
          <w:sz w:val="24"/>
          <w:szCs w:val="24"/>
          <w:highlight w:val="none"/>
        </w:rPr>
      </w:pPr>
      <w:bookmarkStart w:id="52" w:name="_Toc174523113"/>
      <w:bookmarkStart w:id="53" w:name="_Toc174523202"/>
      <w:r>
        <w:rPr>
          <w:rFonts w:hint="eastAsia" w:ascii="仿宋" w:hAnsi="仿宋" w:eastAsia="仿宋"/>
          <w:bCs w:val="0"/>
          <w:color w:val="auto"/>
          <w:sz w:val="24"/>
          <w:szCs w:val="24"/>
          <w:highlight w:val="none"/>
        </w:rPr>
        <w:t>九、合同生效</w:t>
      </w:r>
      <w:bookmarkEnd w:id="52"/>
      <w:bookmarkEnd w:id="53"/>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76438A7E">
      <w:pPr>
        <w:pStyle w:val="2"/>
        <w:rPr>
          <w:rFonts w:hint="eastAsia"/>
          <w:color w:val="auto"/>
        </w:rPr>
      </w:pP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6"/>
        <w:numPr>
          <w:ilvl w:val="0"/>
          <w:numId w:val="14"/>
        </w:numPr>
        <w:spacing w:line="360" w:lineRule="auto"/>
        <w:rPr>
          <w:rFonts w:hint="eastAsia" w:ascii="仿宋" w:hAnsi="仿宋" w:eastAsia="仿宋"/>
          <w:color w:val="auto"/>
          <w:sz w:val="32"/>
          <w:szCs w:val="40"/>
          <w:highlight w:val="none"/>
        </w:rPr>
      </w:pPr>
      <w:bookmarkStart w:id="54" w:name="_Toc174523203"/>
      <w:bookmarkStart w:id="55" w:name="_Toc174523114"/>
      <w:bookmarkStart w:id="56" w:name="_Toc129765781"/>
      <w:r>
        <w:rPr>
          <w:rFonts w:hint="eastAsia" w:ascii="仿宋" w:hAnsi="仿宋" w:eastAsia="仿宋"/>
          <w:color w:val="auto"/>
          <w:sz w:val="32"/>
          <w:szCs w:val="40"/>
          <w:highlight w:val="none"/>
        </w:rPr>
        <w:t xml:space="preserve"> 通用条件</w:t>
      </w:r>
      <w:bookmarkEnd w:id="54"/>
      <w:bookmarkEnd w:id="55"/>
      <w:bookmarkEnd w:id="56"/>
    </w:p>
    <w:p w14:paraId="79802316">
      <w:pPr>
        <w:pStyle w:val="7"/>
        <w:numPr>
          <w:ilvl w:val="0"/>
          <w:numId w:val="0"/>
        </w:numPr>
        <w:rPr>
          <w:rFonts w:hint="default" w:eastAsia="宋体"/>
          <w:color w:val="auto"/>
          <w:highlight w:val="none"/>
          <w:lang w:val="en-US" w:eastAsia="zh-CN"/>
        </w:rPr>
      </w:pPr>
      <w:r>
        <w:rPr>
          <w:rFonts w:hint="eastAsia"/>
          <w:color w:val="auto"/>
          <w:highlight w:val="none"/>
          <w:lang w:val="en-US" w:eastAsia="zh-CN"/>
        </w:rPr>
        <w:t xml:space="preserve">                        </w:t>
      </w:r>
      <w:r>
        <w:rPr>
          <w:rFonts w:hint="eastAsia"/>
          <w:b/>
          <w:bCs/>
          <w:color w:val="auto"/>
          <w:highlight w:val="none"/>
          <w:lang w:val="en-US" w:eastAsia="zh-CN"/>
        </w:rPr>
        <w:t xml:space="preserve">  略</w:t>
      </w:r>
    </w:p>
    <w:p w14:paraId="2E96CD29">
      <w:pPr>
        <w:rPr>
          <w:rFonts w:hint="eastAsia" w:ascii="仿宋" w:hAnsi="仿宋" w:eastAsia="仿宋"/>
          <w:color w:val="auto"/>
          <w:sz w:val="24"/>
          <w:szCs w:val="24"/>
          <w:highlight w:val="none"/>
        </w:rPr>
      </w:pPr>
      <w:bookmarkStart w:id="57" w:name="_Toc174523204"/>
      <w:bookmarkStart w:id="58" w:name="_Toc129765782"/>
      <w:bookmarkStart w:id="59" w:name="_Toc174523115"/>
    </w:p>
    <w:p w14:paraId="52656655">
      <w:pPr>
        <w:pStyle w:val="6"/>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57"/>
      <w:bookmarkEnd w:id="58"/>
      <w:bookmarkEnd w:id="59"/>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lang w:eastAsia="zh-CN"/>
        </w:rPr>
        <w:t>项目设计施工阶段全过程监理</w:t>
      </w:r>
      <w:r>
        <w:rPr>
          <w:rFonts w:hint="eastAsia" w:ascii="仿宋" w:hAnsi="仿宋" w:eastAsia="仿宋"/>
          <w:b/>
          <w:color w:val="auto"/>
          <w:sz w:val="24"/>
          <w:szCs w:val="24"/>
          <w:highlight w:val="none"/>
          <w:u w:val="single"/>
        </w:rPr>
        <w:t>、缺陷责任期相关服务主要包括“三控三管一协调”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w:t>
      </w:r>
      <w:r>
        <w:rPr>
          <w:rFonts w:hint="eastAsia" w:ascii="仿宋" w:hAnsi="仿宋" w:eastAsia="仿宋"/>
          <w:b/>
          <w:color w:val="auto"/>
          <w:sz w:val="24"/>
          <w:szCs w:val="24"/>
          <w:highlight w:val="none"/>
          <w:u w:val="single"/>
          <w:lang w:val="en-US" w:eastAsia="zh-CN"/>
        </w:rPr>
        <w:t>结</w:t>
      </w:r>
      <w:r>
        <w:rPr>
          <w:rFonts w:hint="eastAsia" w:ascii="仿宋" w:hAnsi="仿宋" w:eastAsia="仿宋"/>
          <w:b/>
          <w:color w:val="auto"/>
          <w:sz w:val="24"/>
          <w:szCs w:val="24"/>
          <w:highlight w:val="none"/>
          <w:u w:val="single"/>
        </w:rPr>
        <w:t>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w:t>
      </w:r>
      <w:r>
        <w:rPr>
          <w:rFonts w:hint="eastAsia" w:ascii="仿宋" w:hAnsi="仿宋" w:eastAsia="仿宋"/>
          <w:b/>
          <w:color w:val="auto"/>
          <w:sz w:val="24"/>
          <w:szCs w:val="24"/>
          <w:highlight w:val="none"/>
          <w:u w:val="single"/>
          <w:lang w:val="en-US" w:eastAsia="zh-CN"/>
        </w:rPr>
        <w:t>质量缺陷期</w:t>
      </w:r>
      <w:r>
        <w:rPr>
          <w:rFonts w:hint="eastAsia" w:ascii="仿宋" w:hAnsi="仿宋" w:eastAsia="仿宋"/>
          <w:b/>
          <w:color w:val="auto"/>
          <w:sz w:val="24"/>
          <w:szCs w:val="24"/>
          <w:highlight w:val="none"/>
          <w:u w:val="single"/>
        </w:rPr>
        <w:t>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履约保证金的金额：为中标合同金额的2%（采用分期施工，按当期价款的2%）。</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6712EF2D">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1）本项目须按招标人需求分期实施，分期结算。</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5201.6515万元（项目建安工程费）</w:t>
      </w:r>
      <w:r>
        <w:rPr>
          <w:rFonts w:hint="default" w:ascii="仿宋" w:hAnsi="仿宋" w:eastAsia="仿宋"/>
          <w:b/>
          <w:bCs/>
          <w:color w:val="auto"/>
          <w:sz w:val="24"/>
          <w:szCs w:val="24"/>
          <w:highlight w:val="none"/>
        </w:rPr>
        <w:t>*100%</w:t>
      </w:r>
      <w:r>
        <w:rPr>
          <w:rFonts w:ascii="仿宋" w:hAnsi="仿宋" w:eastAsia="仿宋"/>
          <w:color w:val="auto"/>
          <w:sz w:val="24"/>
          <w:szCs w:val="24"/>
          <w:highlight w:val="none"/>
        </w:rPr>
        <w:t>；</w:t>
      </w:r>
    </w:p>
    <w:p w14:paraId="065DA48E">
      <w:pPr>
        <w:spacing w:line="360" w:lineRule="auto"/>
        <w:ind w:firstLine="480" w:firstLineChars="200"/>
        <w:rPr>
          <w:rFonts w:hint="eastAsia" w:ascii="仿宋" w:hAnsi="仿宋" w:eastAsia="仿宋"/>
          <w:color w:val="auto"/>
          <w:sz w:val="24"/>
          <w:szCs w:val="24"/>
          <w:highlight w:val="none"/>
        </w:rPr>
      </w:pPr>
      <w:bookmarkStart w:id="60" w:name="_Hlk174015768"/>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60"/>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w:t>
      </w:r>
      <w:r>
        <w:rPr>
          <w:rFonts w:hint="default" w:ascii="仿宋" w:hAnsi="仿宋" w:eastAsia="仿宋" w:cs="宋体"/>
          <w:snapToGrid/>
          <w:color w:val="auto"/>
          <w:kern w:val="0"/>
          <w:sz w:val="24"/>
          <w:szCs w:val="24"/>
          <w:highlight w:val="none"/>
          <w:lang w:val="en-US" w:eastAsia="zh-CN"/>
        </w:rPr>
        <w:t>质量缺陷责任</w:t>
      </w:r>
      <w:r>
        <w:rPr>
          <w:rFonts w:ascii="仿宋" w:hAnsi="仿宋" w:eastAsia="仿宋"/>
          <w:color w:val="auto"/>
          <w:sz w:val="24"/>
          <w:szCs w:val="24"/>
          <w:highlight w:val="none"/>
        </w:rPr>
        <w:t>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61"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61"/>
      <w:r>
        <w:rPr>
          <w:rFonts w:ascii="仿宋" w:hAnsi="仿宋" w:eastAsia="仿宋"/>
          <w:color w:val="auto"/>
          <w:sz w:val="24"/>
          <w:szCs w:val="24"/>
          <w:highlight w:val="none"/>
        </w:rPr>
        <w:t>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487F3B07">
      <w:pPr>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③本项目计划工期为360日历天，若实际施工工期超过计划工期，监理服务费不增加。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w:t>
      </w:r>
      <w:r>
        <w:rPr>
          <w:rFonts w:hint="eastAsia" w:ascii="仿宋" w:hAnsi="仿宋" w:eastAsia="仿宋"/>
          <w:color w:val="auto"/>
          <w:sz w:val="24"/>
          <w:szCs w:val="24"/>
          <w:highlight w:val="none"/>
        </w:rPr>
        <w:t>金（采用分期实施，为当期价款的2%），</w:t>
      </w:r>
      <w:r>
        <w:rPr>
          <w:rFonts w:ascii="仿宋" w:hAnsi="仿宋" w:eastAsia="仿宋"/>
          <w:color w:val="auto"/>
          <w:sz w:val="24"/>
          <w:szCs w:val="24"/>
          <w:highlight w:val="none"/>
        </w:rPr>
        <w:t>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3"/>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hint="eastAsia" w:ascii="仿宋" w:hAnsi="仿宋" w:eastAsia="仿宋"/>
          <w:color w:val="auto"/>
          <w:sz w:val="24"/>
          <w:szCs w:val="24"/>
          <w:highlight w:val="none"/>
          <w:lang w:val="en-US" w:eastAsia="zh-CN"/>
        </w:rPr>
        <w:t>5000</w:t>
      </w:r>
      <w:r>
        <w:rPr>
          <w:rFonts w:ascii="仿宋" w:hAnsi="仿宋" w:eastAsia="仿宋"/>
          <w:color w:val="auto"/>
          <w:sz w:val="24"/>
          <w:szCs w:val="24"/>
          <w:highlight w:val="none"/>
        </w:rPr>
        <w:t>元的违约金（不可抗力因素除外）；专业监理工程师不得更换，如需更换，须经发包人同意，并向发包人支付</w:t>
      </w:r>
      <w:r>
        <w:rPr>
          <w:rFonts w:hint="eastAsia" w:ascii="仿宋" w:hAnsi="仿宋" w:eastAsia="仿宋"/>
          <w:color w:val="auto"/>
          <w:sz w:val="24"/>
          <w:szCs w:val="24"/>
          <w:highlight w:val="none"/>
          <w:lang w:val="en-US" w:eastAsia="zh-CN"/>
        </w:rPr>
        <w:t>3000</w:t>
      </w:r>
      <w:r>
        <w:rPr>
          <w:rFonts w:ascii="仿宋" w:hAnsi="仿宋" w:eastAsia="仿宋"/>
          <w:color w:val="auto"/>
          <w:sz w:val="24"/>
          <w:szCs w:val="24"/>
          <w:highlight w:val="none"/>
        </w:rPr>
        <w:t>元的违约金（不可抗力因素除外）；监理人员不得更换，如需更换，须经发包人同意，并向发包人支付1万元的违约金（不可抗力因素除外）。更换的监理人员资质应不低于被更换的监理人员资质,否则监理人将向委托人承担</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0.2</w:t>
      </w:r>
      <w:r>
        <w:rPr>
          <w:rFonts w:ascii="仿宋" w:hAnsi="仿宋" w:eastAsia="仿宋"/>
          <w:color w:val="auto"/>
          <w:sz w:val="24"/>
          <w:szCs w:val="24"/>
          <w:highlight w:val="none"/>
        </w:rPr>
        <w:t xml:space="preserve">万元～ </w:t>
      </w:r>
      <w:r>
        <w:rPr>
          <w:rFonts w:hint="eastAsia" w:ascii="仿宋" w:hAnsi="仿宋" w:eastAsia="仿宋"/>
          <w:color w:val="auto"/>
          <w:sz w:val="24"/>
          <w:szCs w:val="24"/>
          <w:highlight w:val="none"/>
          <w:lang w:val="en-US" w:eastAsia="zh-CN"/>
        </w:rPr>
        <w:t>0.5</w:t>
      </w:r>
      <w:r>
        <w:rPr>
          <w:rFonts w:ascii="仿宋" w:hAnsi="仿宋" w:eastAsia="仿宋"/>
          <w:color w:val="auto"/>
          <w:sz w:val="24"/>
          <w:szCs w:val="24"/>
          <w:highlight w:val="none"/>
        </w:rPr>
        <w:t>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w:t>
      </w:r>
      <w:r>
        <w:rPr>
          <w:rFonts w:hint="eastAsia" w:ascii="仿宋" w:hAnsi="仿宋" w:eastAsia="仿宋"/>
          <w:b w:val="0"/>
          <w:bCs w:val="0"/>
          <w:color w:val="auto"/>
          <w:sz w:val="24"/>
          <w:szCs w:val="24"/>
          <w:highlight w:val="none"/>
          <w:lang w:val="en-US" w:eastAsia="zh-CN"/>
        </w:rPr>
        <w:t>3</w:t>
      </w:r>
      <w:r>
        <w:rPr>
          <w:rFonts w:ascii="仿宋" w:hAnsi="仿宋" w:eastAsia="仿宋"/>
          <w:b w:val="0"/>
          <w:bCs w:val="0"/>
          <w:color w:val="auto"/>
          <w:sz w:val="24"/>
          <w:szCs w:val="24"/>
          <w:highlight w:val="none"/>
        </w:rPr>
        <w:t>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3</w:t>
      </w:r>
      <w:r>
        <w:rPr>
          <w:rFonts w:ascii="仿宋" w:hAnsi="仿宋" w:eastAsia="仿宋"/>
          <w:b w:val="0"/>
          <w:bCs w:val="0"/>
          <w:color w:val="auto"/>
          <w:sz w:val="24"/>
          <w:szCs w:val="24"/>
          <w:highlight w:val="none"/>
          <w:u w:val="single"/>
        </w:rPr>
        <w:t xml:space="preserve">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3</w:t>
      </w:r>
      <w:r>
        <w:rPr>
          <w:rFonts w:ascii="仿宋" w:hAnsi="仿宋" w:eastAsia="仿宋"/>
          <w:b w:val="0"/>
          <w:bCs w:val="0"/>
          <w:color w:val="auto"/>
          <w:sz w:val="24"/>
          <w:szCs w:val="24"/>
          <w:highlight w:val="none"/>
          <w:u w:val="single"/>
        </w:rPr>
        <w:t>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lang w:val="en-US" w:eastAsia="zh-CN"/>
        </w:rPr>
        <w:t>的</w:t>
      </w:r>
      <w:r>
        <w:rPr>
          <w:rFonts w:hint="eastAsia" w:ascii="仿宋" w:hAnsi="仿宋" w:eastAsia="仿宋"/>
          <w:color w:val="auto"/>
          <w:sz w:val="24"/>
          <w:szCs w:val="24"/>
          <w:highlight w:val="none"/>
        </w:rPr>
        <w:t>监理人承担</w:t>
      </w:r>
      <w:r>
        <w:rPr>
          <w:rFonts w:hint="eastAsia" w:ascii="仿宋" w:hAnsi="仿宋" w:eastAsia="仿宋"/>
          <w:color w:val="auto"/>
          <w:sz w:val="24"/>
          <w:szCs w:val="24"/>
          <w:highlight w:val="none"/>
          <w:lang w:val="en-US" w:eastAsia="zh-CN"/>
        </w:rPr>
        <w:t>3000</w:t>
      </w:r>
      <w:r>
        <w:rPr>
          <w:rFonts w:hint="eastAsia" w:ascii="仿宋" w:hAnsi="仿宋" w:eastAsia="仿宋"/>
          <w:color w:val="auto"/>
          <w:sz w:val="24"/>
          <w:szCs w:val="24"/>
          <w:highlight w:val="none"/>
        </w:rPr>
        <w:t>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3</w:t>
      </w:r>
      <w:r>
        <w:rPr>
          <w:rFonts w:ascii="仿宋" w:hAnsi="仿宋" w:eastAsia="仿宋"/>
          <w:b/>
          <w:color w:val="auto"/>
          <w:sz w:val="24"/>
          <w:szCs w:val="24"/>
          <w:highlight w:val="none"/>
          <w:u w:val="single"/>
        </w:rPr>
        <w:t>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9.25、</w:t>
      </w:r>
      <w:r>
        <w:rPr>
          <w:rFonts w:hint="eastAsia" w:ascii="仿宋" w:hAnsi="仿宋" w:eastAsia="仿宋"/>
          <w:color w:val="auto"/>
          <w:sz w:val="24"/>
          <w:szCs w:val="24"/>
          <w:highlight w:val="none"/>
        </w:rPr>
        <w:t>监理</w:t>
      </w:r>
      <w:r>
        <w:rPr>
          <w:rFonts w:hint="eastAsia" w:ascii="仿宋" w:hAnsi="仿宋" w:eastAsia="仿宋"/>
          <w:color w:val="auto"/>
          <w:sz w:val="24"/>
          <w:szCs w:val="24"/>
          <w:highlight w:val="none"/>
          <w:lang w:val="en-US" w:eastAsia="zh-CN"/>
        </w:rPr>
        <w:t>人必须对绿化工程进行监管，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竣工验收阶段监理，监理人员需要参与工程的竣工验收工作，这包括对工程的质量进行检查和评估，对工程的资料进行审核和整理，以及对工程的保修和维护工作进行监督和管理，对绿化工程的整体情况进行总结和评价。</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auto"/>
          <w:sz w:val="24"/>
          <w:szCs w:val="24"/>
          <w:highlight w:val="none"/>
          <w:lang w:val="en-US" w:eastAsia="zh-CN"/>
        </w:rPr>
        <w:t>补充</w:t>
      </w:r>
      <w:r>
        <w:rPr>
          <w:rFonts w:hint="eastAsia" w:ascii="仿宋" w:hAnsi="仿宋" w:eastAsia="仿宋"/>
          <w:color w:val="auto"/>
          <w:sz w:val="24"/>
          <w:szCs w:val="24"/>
          <w:highlight w:val="none"/>
        </w:rPr>
        <w:t>条款中违约金以“工程监理费”为基础计算，工程未审结前以合同暂定金额为基数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w:t>
      </w:r>
      <w:r>
        <w:rPr>
          <w:rFonts w:hint="eastAsia" w:ascii="仿宋" w:hAnsi="仿宋" w:eastAsia="仿宋"/>
          <w:color w:val="auto"/>
          <w:sz w:val="24"/>
          <w:szCs w:val="24"/>
          <w:highlight w:val="none"/>
          <w:lang w:val="en-US" w:eastAsia="zh-CN"/>
        </w:rPr>
        <w:t>应</w:t>
      </w:r>
      <w:r>
        <w:rPr>
          <w:rFonts w:hint="eastAsia" w:ascii="仿宋" w:hAnsi="仿宋" w:eastAsia="仿宋"/>
          <w:color w:val="auto"/>
          <w:sz w:val="24"/>
          <w:szCs w:val="24"/>
          <w:highlight w:val="none"/>
        </w:rPr>
        <w:t>无偿继续履行监理义务直至工程合格。</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64FBD613">
      <w:pPr>
        <w:pStyle w:val="2"/>
        <w:ind w:left="0" w:leftChars="0" w:firstLine="480"/>
        <w:rPr>
          <w:rFonts w:hint="eastAsia" w:ascii="仿宋" w:hAnsi="仿宋" w:eastAsia="仿宋"/>
          <w:color w:val="auto"/>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8</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监理</w:t>
      </w:r>
      <w:r>
        <w:rPr>
          <w:rFonts w:hint="eastAsia" w:ascii="仿宋" w:hAnsi="仿宋" w:eastAsia="仿宋" w:cs="宋体"/>
          <w:color w:val="auto"/>
          <w:szCs w:val="24"/>
          <w:highlight w:val="none"/>
        </w:rPr>
        <w:t>人必须遵守《金诚投资集团生产安全事故隐息排查治理办法(试行)》及《处罚细则》</w:t>
      </w:r>
      <w:r>
        <w:rPr>
          <w:rFonts w:hint="eastAsia" w:ascii="仿宋" w:hAnsi="仿宋" w:eastAsia="仿宋" w:cs="宋体"/>
          <w:color w:val="auto"/>
          <w:szCs w:val="24"/>
          <w:highlight w:val="none"/>
          <w:lang w:val="en-US" w:eastAsia="zh-CN"/>
        </w:rPr>
        <w:t>。</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62" w:name="_Toc174523116"/>
      <w:bookmarkStart w:id="63" w:name="_Toc129765783"/>
      <w:bookmarkStart w:id="64" w:name="_Toc174523205"/>
      <w:bookmarkStart w:id="65"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bookmarkEnd w:id="62"/>
    <w:bookmarkEnd w:id="63"/>
    <w:bookmarkEnd w:id="64"/>
    <w:p w14:paraId="44CEE987">
      <w:pPr>
        <w:pStyle w:val="5"/>
        <w:spacing w:line="360" w:lineRule="auto"/>
        <w:rPr>
          <w:rFonts w:hint="eastAsia" w:ascii="仿宋" w:hAnsi="仿宋" w:eastAsia="仿宋"/>
          <w:color w:val="auto"/>
          <w:sz w:val="36"/>
          <w:szCs w:val="44"/>
          <w:highlight w:val="none"/>
        </w:rPr>
      </w:pPr>
      <w:bookmarkStart w:id="66" w:name="_Toc174523117"/>
      <w:bookmarkStart w:id="67" w:name="_Toc129765784"/>
      <w:bookmarkStart w:id="68" w:name="_Toc174523206"/>
      <w:r>
        <w:rPr>
          <w:rFonts w:hint="eastAsia" w:ascii="仿宋" w:hAnsi="仿宋" w:eastAsia="仿宋"/>
          <w:color w:val="auto"/>
          <w:sz w:val="36"/>
          <w:szCs w:val="44"/>
          <w:highlight w:val="none"/>
        </w:rPr>
        <w:t>第六章 施工图纸及勘察资料</w:t>
      </w:r>
      <w:bookmarkEnd w:id="66"/>
      <w:bookmarkEnd w:id="67"/>
      <w:bookmarkEnd w:id="68"/>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w:t>
      </w:r>
      <w:r>
        <w:rPr>
          <w:rFonts w:hint="eastAsia" w:ascii="仿宋" w:hAnsi="仿宋" w:eastAsia="仿宋"/>
          <w:color w:val="auto"/>
          <w:sz w:val="32"/>
          <w:szCs w:val="28"/>
          <w:highlight w:val="none"/>
          <w:lang w:val="en-US" w:eastAsia="zh-CN"/>
        </w:rPr>
        <w:t>电子版</w:t>
      </w:r>
      <w:r>
        <w:rPr>
          <w:rFonts w:hint="eastAsia" w:ascii="仿宋" w:hAnsi="仿宋" w:eastAsia="仿宋"/>
          <w:color w:val="auto"/>
          <w:sz w:val="32"/>
          <w:szCs w:val="28"/>
          <w:highlight w:val="none"/>
        </w:rPr>
        <w:t>）</w:t>
      </w:r>
    </w:p>
    <w:p w14:paraId="3276DEFD">
      <w:pPr>
        <w:spacing w:line="360" w:lineRule="auto"/>
        <w:jc w:val="center"/>
        <w:rPr>
          <w:rFonts w:hint="eastAsia" w:ascii="仿宋" w:hAnsi="仿宋" w:eastAsia="仿宋"/>
          <w:color w:val="auto"/>
          <w:sz w:val="32"/>
          <w:szCs w:val="28"/>
          <w:highlight w:val="none"/>
        </w:rPr>
      </w:pPr>
    </w:p>
    <w:p w14:paraId="5CB53315">
      <w:pPr>
        <w:pStyle w:val="5"/>
        <w:spacing w:line="360" w:lineRule="auto"/>
        <w:rPr>
          <w:rFonts w:hint="eastAsia" w:ascii="仿宋" w:hAnsi="仿宋" w:eastAsia="仿宋"/>
          <w:color w:val="auto"/>
          <w:sz w:val="36"/>
          <w:szCs w:val="44"/>
          <w:highlight w:val="none"/>
        </w:rPr>
      </w:pPr>
      <w:bookmarkStart w:id="69" w:name="_Toc174523118"/>
      <w:bookmarkStart w:id="70" w:name="_Toc174523207"/>
      <w:bookmarkStart w:id="71" w:name="_Toc129765785"/>
      <w:r>
        <w:rPr>
          <w:rFonts w:hint="eastAsia" w:ascii="仿宋" w:hAnsi="仿宋" w:eastAsia="仿宋"/>
          <w:color w:val="auto"/>
          <w:sz w:val="36"/>
          <w:szCs w:val="44"/>
          <w:highlight w:val="none"/>
        </w:rPr>
        <w:t>第七章 技术标准和要求</w:t>
      </w:r>
      <w:bookmarkEnd w:id="69"/>
      <w:bookmarkEnd w:id="70"/>
      <w:bookmarkEnd w:id="71"/>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65"/>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2426F1C">
      <w:pPr>
        <w:pStyle w:val="5"/>
        <w:spacing w:line="360" w:lineRule="auto"/>
        <w:rPr>
          <w:rFonts w:hint="eastAsia" w:ascii="仿宋" w:hAnsi="仿宋" w:eastAsia="仿宋"/>
          <w:color w:val="auto"/>
          <w:sz w:val="32"/>
          <w:szCs w:val="40"/>
          <w:highlight w:val="none"/>
        </w:rPr>
      </w:pPr>
      <w:bookmarkStart w:id="72" w:name="_Toc174523119"/>
      <w:bookmarkStart w:id="73" w:name="_Toc129765786"/>
      <w:bookmarkStart w:id="74" w:name="_Toc174523208"/>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p>
    <w:p w14:paraId="65C7A6BE">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2F4EAC92">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铜陵市郊区医养结合一体化建设项目监理。</w:t>
      </w:r>
    </w:p>
    <w:p w14:paraId="5103C3C3">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9176284">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53CD773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06138CC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4243E0BF">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本项目主要建设内容</w:t>
      </w:r>
      <w:r>
        <w:rPr>
          <w:rFonts w:hint="eastAsia" w:ascii="仿宋" w:hAnsi="仿宋" w:eastAsia="仿宋"/>
          <w:color w:val="auto"/>
          <w:szCs w:val="24"/>
          <w:highlight w:val="none"/>
        </w:rPr>
        <w:t>包括对主体工程改造及室内外装饰、水电照明管线改造、卫生间装饰及设施，配置家具电器、空调等工程及购置医疗设备52台（套）</w:t>
      </w:r>
      <w:r>
        <w:rPr>
          <w:rFonts w:hint="eastAsia" w:ascii="仿宋" w:hAnsi="仿宋" w:eastAsia="仿宋"/>
          <w:color w:val="auto"/>
          <w:sz w:val="24"/>
          <w:szCs w:val="24"/>
          <w:highlight w:val="none"/>
          <w:lang w:val="en-US" w:eastAsia="zh-CN"/>
        </w:rPr>
        <w:t>。项目建安工程费5201.6515万元。</w:t>
      </w:r>
    </w:p>
    <w:p w14:paraId="25EA4B4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75ABE79E">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58D3BD94">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铜陵大通美食文化广场有限公司</w:t>
      </w:r>
    </w:p>
    <w:p w14:paraId="5CCD9153">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3E6E8094">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156D0DF5">
      <w:pPr>
        <w:spacing w:line="360" w:lineRule="auto"/>
        <w:ind w:firstLine="482" w:firstLineChars="200"/>
        <w:rPr>
          <w:rFonts w:hint="eastAsia" w:ascii="仿宋" w:hAnsi="仿宋" w:eastAsia="仿宋"/>
          <w:color w:val="auto"/>
          <w:sz w:val="24"/>
          <w:szCs w:val="22"/>
          <w:highlight w:val="yellow"/>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b w:val="0"/>
          <w:bCs/>
          <w:color w:val="auto"/>
          <w:sz w:val="24"/>
          <w:szCs w:val="22"/>
          <w:highlight w:val="none"/>
        </w:rPr>
        <w:t>工程勘察、设计、施工阶段全过程监理及缺陷责任期相关服务。（包括但不限于项目勘察、设计等阶段的管理及协调配合相关监理服务，施工阶段的质量、进度、费用控制和安全、合同、信息管理以及组织协调等其它监理服务，缺陷责任期相关服务以及招标文件中所载明的内容及业主安排的其他事项）</w:t>
      </w:r>
      <w:r>
        <w:rPr>
          <w:rFonts w:hint="eastAsia" w:ascii="仿宋" w:hAnsi="仿宋" w:eastAsia="仿宋"/>
          <w:color w:val="auto"/>
          <w:sz w:val="24"/>
          <w:szCs w:val="22"/>
          <w:highlight w:val="none"/>
        </w:rPr>
        <w:t>。</w:t>
      </w:r>
    </w:p>
    <w:p w14:paraId="1915C5D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05A0182A">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b w:val="0"/>
          <w:bCs/>
          <w:color w:val="auto"/>
          <w:sz w:val="24"/>
          <w:szCs w:val="22"/>
          <w:highlight w:val="none"/>
          <w:lang w:eastAsia="zh-CN"/>
        </w:rPr>
        <w:t>自合同生效之日起至缺陷责任期结束并交付之日止（设计及施工工期360日历天，缺陷责任期24个月）</w:t>
      </w:r>
      <w:r>
        <w:rPr>
          <w:rFonts w:hint="eastAsia" w:ascii="仿宋" w:hAnsi="仿宋" w:eastAsia="仿宋"/>
          <w:b w:val="0"/>
          <w:bCs/>
          <w:color w:val="auto"/>
          <w:sz w:val="24"/>
          <w:szCs w:val="22"/>
          <w:highlight w:val="none"/>
        </w:rPr>
        <w:t>。</w:t>
      </w:r>
    </w:p>
    <w:p w14:paraId="5BF6935E">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hint="eastAsia" w:ascii="仿宋" w:hAnsi="仿宋" w:eastAsia="仿宋"/>
          <w:b/>
          <w:color w:val="auto"/>
          <w:sz w:val="24"/>
          <w:szCs w:val="22"/>
          <w:highlight w:val="none"/>
          <w:lang w:eastAsia="zh-CN"/>
        </w:rPr>
        <w:t>（</w:t>
      </w:r>
      <w:r>
        <w:rPr>
          <w:rFonts w:hint="eastAsia" w:ascii="仿宋" w:hAnsi="仿宋" w:eastAsia="仿宋"/>
          <w:b/>
          <w:color w:val="auto"/>
          <w:sz w:val="24"/>
          <w:szCs w:val="22"/>
          <w:highlight w:val="none"/>
          <w:lang w:val="en-US" w:eastAsia="zh-CN"/>
        </w:rPr>
        <w:t>包括但不限于以下内容</w:t>
      </w:r>
      <w:r>
        <w:rPr>
          <w:rFonts w:hint="eastAsia" w:ascii="仿宋" w:hAnsi="仿宋" w:eastAsia="仿宋"/>
          <w:b/>
          <w:color w:val="auto"/>
          <w:sz w:val="24"/>
          <w:szCs w:val="22"/>
          <w:highlight w:val="none"/>
          <w:lang w:eastAsia="zh-CN"/>
        </w:rPr>
        <w:t>）</w:t>
      </w:r>
      <w:r>
        <w:rPr>
          <w:rFonts w:ascii="仿宋" w:hAnsi="仿宋" w:eastAsia="仿宋"/>
          <w:b/>
          <w:color w:val="auto"/>
          <w:sz w:val="24"/>
          <w:szCs w:val="22"/>
          <w:highlight w:val="none"/>
        </w:rPr>
        <w:t>:</w:t>
      </w:r>
    </w:p>
    <w:p w14:paraId="783D692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1A950C1A">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291568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57C3F82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4E22A17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13147D2A">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671C7D0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60268F3A">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50A2A7C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B0DD6BF">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0A14001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03F70E2A">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5072BF3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129364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244A29F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626E0C9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722A3389">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5"/>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72"/>
      <w:bookmarkEnd w:id="73"/>
      <w:bookmarkEnd w:id="74"/>
    </w:p>
    <w:p w14:paraId="51E40AA6">
      <w:pPr>
        <w:spacing w:line="360" w:lineRule="auto"/>
        <w:rPr>
          <w:rFonts w:hint="eastAsia" w:ascii="仿宋" w:hAnsi="仿宋" w:eastAsia="仿宋"/>
          <w:color w:val="auto"/>
          <w:sz w:val="32"/>
          <w:szCs w:val="28"/>
          <w:highlight w:val="none"/>
        </w:rPr>
      </w:pPr>
    </w:p>
    <w:p w14:paraId="5BCE1D49">
      <w:pPr>
        <w:pStyle w:val="6"/>
        <w:spacing w:line="360" w:lineRule="auto"/>
        <w:rPr>
          <w:rFonts w:hint="eastAsia" w:ascii="仿宋" w:hAnsi="仿宋" w:eastAsia="仿宋"/>
          <w:color w:val="auto"/>
          <w:sz w:val="28"/>
          <w:szCs w:val="28"/>
          <w:highlight w:val="none"/>
        </w:rPr>
      </w:pPr>
      <w:bookmarkStart w:id="75" w:name="_Toc124923412"/>
      <w:bookmarkStart w:id="76" w:name="_Toc129765787"/>
      <w:bookmarkStart w:id="77" w:name="_Toc174523209"/>
      <w:bookmarkStart w:id="78" w:name="_Toc174523120"/>
      <w:r>
        <w:rPr>
          <w:rFonts w:hint="eastAsia" w:ascii="仿宋" w:hAnsi="仿宋" w:eastAsia="仿宋"/>
          <w:color w:val="auto"/>
          <w:sz w:val="28"/>
          <w:szCs w:val="28"/>
          <w:highlight w:val="none"/>
        </w:rPr>
        <w:t>一、投标资格初步审查资料</w:t>
      </w:r>
      <w:bookmarkEnd w:id="75"/>
      <w:bookmarkEnd w:id="76"/>
      <w:bookmarkEnd w:id="77"/>
      <w:bookmarkEnd w:id="78"/>
    </w:p>
    <w:p w14:paraId="679F3BED">
      <w:pPr>
        <w:pStyle w:val="19"/>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3"/>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8"/>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8"/>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8"/>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8"/>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5"/>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14:paraId="69E6406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14:paraId="7BCAC8E9">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14:paraId="0FB1883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14:paraId="3039AF7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14:paraId="677B4A86">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项目总监理工程师相关材料</w:t>
      </w:r>
    </w:p>
    <w:p w14:paraId="0918E8D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关于总监理工程师现场到位率的承诺</w:t>
      </w:r>
    </w:p>
    <w:p w14:paraId="1ED085E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关于拟派总监理工程师不得有异地在监项目的承诺</w:t>
      </w:r>
    </w:p>
    <w:p w14:paraId="36BA30B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14:paraId="6B9FDAEE">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拟组建的项目监理机构</w:t>
      </w:r>
    </w:p>
    <w:p w14:paraId="67DA45DF">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14:paraId="74C550F2">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10"/>
        <w:spacing w:line="360" w:lineRule="auto"/>
        <w:jc w:val="center"/>
        <w:rPr>
          <w:rFonts w:hint="eastAsia" w:ascii="仿宋" w:hAnsi="仿宋" w:eastAsia="仿宋"/>
          <w:color w:val="auto"/>
          <w:sz w:val="32"/>
          <w:szCs w:val="36"/>
          <w:highlight w:val="none"/>
        </w:rPr>
      </w:pPr>
      <w:bookmarkStart w:id="79" w:name="_Toc174523121"/>
      <w:bookmarkStart w:id="80" w:name="_Toc174523210"/>
      <w:r>
        <w:rPr>
          <w:rFonts w:hint="eastAsia" w:ascii="仿宋" w:hAnsi="仿宋" w:eastAsia="仿宋"/>
          <w:color w:val="auto"/>
          <w:sz w:val="32"/>
          <w:szCs w:val="36"/>
          <w:highlight w:val="none"/>
        </w:rPr>
        <w:t>（一）法定代表人身份证明书</w:t>
      </w:r>
      <w:bookmarkEnd w:id="79"/>
      <w:bookmarkEnd w:id="80"/>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10"/>
        <w:spacing w:line="360" w:lineRule="auto"/>
        <w:ind w:left="0" w:leftChars="0" w:firstLine="722" w:firstLineChars="257"/>
        <w:rPr>
          <w:rFonts w:hint="eastAsia" w:ascii="仿宋" w:hAnsi="仿宋" w:eastAsia="仿宋"/>
          <w:color w:val="auto"/>
          <w:sz w:val="28"/>
          <w:szCs w:val="28"/>
          <w:highlight w:val="none"/>
        </w:rPr>
      </w:pPr>
      <w:bookmarkStart w:id="81" w:name="_Toc174523211"/>
      <w:bookmarkStart w:id="82" w:name="_Toc174523122"/>
      <w:r>
        <w:rPr>
          <w:rFonts w:hint="eastAsia" w:ascii="仿宋" w:hAnsi="仿宋" w:eastAsia="仿宋"/>
          <w:color w:val="auto"/>
          <w:sz w:val="28"/>
          <w:szCs w:val="28"/>
          <w:highlight w:val="none"/>
        </w:rPr>
        <w:t>（二）法定代表人身份证复印件（扫描件）</w:t>
      </w:r>
      <w:bookmarkEnd w:id="81"/>
      <w:bookmarkEnd w:id="82"/>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10"/>
        <w:spacing w:line="360" w:lineRule="auto"/>
        <w:rPr>
          <w:rFonts w:hint="eastAsia" w:ascii="仿宋" w:hAnsi="仿宋" w:eastAsia="仿宋"/>
          <w:color w:val="auto"/>
          <w:sz w:val="28"/>
          <w:szCs w:val="28"/>
          <w:highlight w:val="none"/>
        </w:rPr>
      </w:pPr>
      <w:bookmarkStart w:id="83" w:name="_Toc174523123"/>
      <w:bookmarkStart w:id="84" w:name="_Toc174523212"/>
      <w:r>
        <w:rPr>
          <w:rFonts w:hint="eastAsia" w:ascii="仿宋" w:hAnsi="仿宋" w:eastAsia="仿宋"/>
          <w:color w:val="auto"/>
          <w:sz w:val="28"/>
          <w:szCs w:val="28"/>
          <w:highlight w:val="none"/>
        </w:rPr>
        <w:t>（三）授权委托书</w:t>
      </w:r>
      <w:bookmarkEnd w:id="83"/>
      <w:bookmarkEnd w:id="84"/>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10"/>
        <w:spacing w:line="360" w:lineRule="auto"/>
        <w:jc w:val="center"/>
        <w:rPr>
          <w:rFonts w:hint="eastAsia" w:ascii="仿宋" w:hAnsi="仿宋" w:eastAsia="仿宋"/>
          <w:color w:val="auto"/>
          <w:sz w:val="28"/>
          <w:szCs w:val="28"/>
          <w:highlight w:val="none"/>
        </w:rPr>
      </w:pPr>
      <w:bookmarkStart w:id="85" w:name="_Toc174523213"/>
      <w:bookmarkStart w:id="86" w:name="_Toc174523124"/>
    </w:p>
    <w:p w14:paraId="0BBA0467">
      <w:pPr>
        <w:pStyle w:val="10"/>
        <w:spacing w:line="360" w:lineRule="auto"/>
        <w:jc w:val="center"/>
        <w:rPr>
          <w:rFonts w:hint="eastAsia" w:ascii="仿宋" w:hAnsi="仿宋" w:eastAsia="仿宋"/>
          <w:color w:val="auto"/>
          <w:sz w:val="28"/>
          <w:szCs w:val="28"/>
          <w:highlight w:val="none"/>
        </w:rPr>
      </w:pPr>
    </w:p>
    <w:p w14:paraId="6242F3A5">
      <w:pPr>
        <w:pStyle w:val="10"/>
        <w:spacing w:line="360" w:lineRule="auto"/>
        <w:jc w:val="center"/>
        <w:rPr>
          <w:rFonts w:hint="eastAsia" w:ascii="仿宋" w:hAnsi="仿宋" w:eastAsia="仿宋"/>
          <w:color w:val="auto"/>
          <w:sz w:val="28"/>
          <w:szCs w:val="28"/>
          <w:highlight w:val="none"/>
        </w:rPr>
      </w:pPr>
    </w:p>
    <w:p w14:paraId="27ABCD34">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85"/>
      <w:bookmarkEnd w:id="86"/>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10"/>
        <w:spacing w:line="360" w:lineRule="auto"/>
        <w:rPr>
          <w:rFonts w:hint="eastAsia" w:ascii="仿宋" w:hAnsi="仿宋" w:eastAsia="仿宋"/>
          <w:color w:val="auto"/>
          <w:sz w:val="28"/>
          <w:szCs w:val="28"/>
          <w:highlight w:val="none"/>
        </w:rPr>
      </w:pPr>
      <w:bookmarkStart w:id="87" w:name="_Toc174523125"/>
      <w:bookmarkStart w:id="88" w:name="_Toc174523214"/>
      <w:r>
        <w:rPr>
          <w:rFonts w:hint="eastAsia" w:ascii="仿宋" w:hAnsi="仿宋" w:eastAsia="仿宋"/>
          <w:color w:val="auto"/>
          <w:sz w:val="28"/>
          <w:szCs w:val="28"/>
          <w:highlight w:val="none"/>
        </w:rPr>
        <w:t>（五）企业资质</w:t>
      </w:r>
      <w:bookmarkEnd w:id="87"/>
      <w:bookmarkEnd w:id="88"/>
    </w:p>
    <w:p w14:paraId="7DDCB2F3">
      <w:pPr>
        <w:spacing w:line="360" w:lineRule="auto"/>
        <w:rPr>
          <w:rFonts w:hint="eastAsia"/>
          <w:color w:val="auto"/>
          <w:sz w:val="28"/>
          <w:szCs w:val="28"/>
          <w:highlight w:val="none"/>
        </w:rPr>
      </w:pPr>
    </w:p>
    <w:p w14:paraId="1E7A1EEF">
      <w:pPr>
        <w:pStyle w:val="10"/>
        <w:spacing w:line="360" w:lineRule="auto"/>
        <w:rPr>
          <w:rFonts w:hint="eastAsia" w:ascii="仿宋" w:hAnsi="仿宋" w:eastAsia="仿宋"/>
          <w:color w:val="auto"/>
          <w:sz w:val="28"/>
          <w:szCs w:val="28"/>
          <w:highlight w:val="none"/>
        </w:rPr>
      </w:pPr>
      <w:bookmarkStart w:id="89" w:name="_Toc174523215"/>
      <w:bookmarkStart w:id="90" w:name="_Toc174523126"/>
      <w:r>
        <w:rPr>
          <w:rFonts w:hint="eastAsia" w:ascii="仿宋" w:hAnsi="仿宋" w:eastAsia="仿宋"/>
          <w:color w:val="auto"/>
          <w:sz w:val="28"/>
          <w:szCs w:val="28"/>
          <w:highlight w:val="none"/>
        </w:rPr>
        <w:t>（六）项目总监理工程师相关材料</w:t>
      </w:r>
      <w:bookmarkEnd w:id="89"/>
      <w:bookmarkEnd w:id="90"/>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91" w:name="_Toc174523131"/>
      <w:bookmarkStart w:id="92" w:name="_Toc174523220"/>
    </w:p>
    <w:p w14:paraId="07DEE9F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91"/>
      <w:bookmarkEnd w:id="92"/>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10"/>
        <w:spacing w:line="360" w:lineRule="auto"/>
        <w:jc w:val="center"/>
        <w:rPr>
          <w:rFonts w:hint="eastAsia" w:ascii="仿宋" w:hAnsi="仿宋" w:eastAsia="仿宋"/>
          <w:color w:val="auto"/>
          <w:sz w:val="28"/>
          <w:szCs w:val="28"/>
          <w:highlight w:val="none"/>
        </w:rPr>
      </w:pPr>
      <w:bookmarkStart w:id="93" w:name="_Toc174523221"/>
      <w:bookmarkStart w:id="94" w:name="_Toc17452313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）关于拟派总监理工程师不得有异地在监项目的承诺</w:t>
      </w:r>
      <w:bookmarkEnd w:id="93"/>
      <w:bookmarkEnd w:id="94"/>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10"/>
        <w:spacing w:line="240" w:lineRule="auto"/>
        <w:jc w:val="center"/>
        <w:rPr>
          <w:rFonts w:hint="eastAsia" w:ascii="仿宋" w:hAnsi="仿宋" w:eastAsia="仿宋"/>
          <w:color w:val="auto"/>
          <w:sz w:val="28"/>
          <w:szCs w:val="28"/>
          <w:highlight w:val="none"/>
        </w:rPr>
      </w:pPr>
      <w:bookmarkStart w:id="95" w:name="_Toc174523133"/>
      <w:bookmarkStart w:id="96" w:name="_Toc17452322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九</w:t>
      </w:r>
      <w:r>
        <w:rPr>
          <w:rFonts w:hint="eastAsia" w:ascii="仿宋" w:hAnsi="仿宋" w:eastAsia="仿宋"/>
          <w:color w:val="auto"/>
          <w:sz w:val="28"/>
          <w:szCs w:val="28"/>
          <w:highlight w:val="none"/>
        </w:rPr>
        <w:t>）诚信承诺书</w:t>
      </w:r>
      <w:bookmarkEnd w:id="95"/>
      <w:bookmarkEnd w:id="96"/>
    </w:p>
    <w:p w14:paraId="10FCEEED">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240" w:lineRule="auto"/>
        <w:rPr>
          <w:rFonts w:hint="eastAsia" w:ascii="仿宋" w:hAnsi="仿宋" w:eastAsia="仿宋"/>
          <w:color w:val="auto"/>
          <w:sz w:val="28"/>
          <w:szCs w:val="28"/>
          <w:highlight w:val="none"/>
        </w:rPr>
      </w:pPr>
    </w:p>
    <w:p w14:paraId="445358FF">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97" w:name="_Toc174523134"/>
      <w:bookmarkStart w:id="98" w:name="_Toc174523223"/>
      <w:r>
        <w:rPr>
          <w:rFonts w:hint="eastAsia" w:ascii="仿宋" w:hAnsi="仿宋" w:eastAsia="仿宋"/>
          <w:color w:val="auto"/>
          <w:sz w:val="28"/>
          <w:szCs w:val="28"/>
          <w:highlight w:val="none"/>
        </w:rPr>
        <w:br w:type="page"/>
      </w:r>
    </w:p>
    <w:p w14:paraId="72CD271E">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（十）拟组建的项目监理机构</w:t>
      </w:r>
      <w:bookmarkEnd w:id="97"/>
      <w:bookmarkEnd w:id="98"/>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99" w:name="_Toc174523224"/>
      <w:bookmarkStart w:id="100" w:name="_Toc174523135"/>
    </w:p>
    <w:p w14:paraId="5FDDD8BA">
      <w:pPr>
        <w:spacing w:line="360" w:lineRule="auto"/>
        <w:rPr>
          <w:rFonts w:hint="eastAsia" w:ascii="仿宋" w:hAnsi="仿宋" w:eastAsia="仿宋"/>
          <w:color w:val="auto"/>
          <w:sz w:val="28"/>
          <w:szCs w:val="28"/>
          <w:highlight w:val="none"/>
        </w:rPr>
      </w:pPr>
    </w:p>
    <w:p w14:paraId="3BBA7C72">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99"/>
      <w:bookmarkEnd w:id="100"/>
    </w:p>
    <w:p w14:paraId="75626F21">
      <w:pPr>
        <w:spacing w:line="360" w:lineRule="auto"/>
        <w:rPr>
          <w:rFonts w:hint="eastAsia" w:ascii="仿宋" w:hAnsi="仿宋" w:eastAsia="仿宋"/>
          <w:color w:val="auto"/>
          <w:sz w:val="28"/>
          <w:szCs w:val="28"/>
          <w:highlight w:val="none"/>
        </w:rPr>
      </w:pPr>
    </w:p>
    <w:p w14:paraId="189E1DD7">
      <w:pPr>
        <w:pStyle w:val="10"/>
        <w:spacing w:line="360" w:lineRule="auto"/>
        <w:rPr>
          <w:rFonts w:hint="eastAsia" w:ascii="仿宋" w:hAnsi="仿宋" w:eastAsia="仿宋" w:cs="宋体"/>
          <w:color w:val="auto"/>
          <w:sz w:val="28"/>
          <w:szCs w:val="28"/>
          <w:highlight w:val="none"/>
          <w:lang w:val="en-US" w:eastAsia="zh-CN"/>
        </w:rPr>
      </w:pPr>
    </w:p>
    <w:p w14:paraId="15E91713">
      <w:pPr>
        <w:pStyle w:val="10"/>
        <w:spacing w:line="360" w:lineRule="auto"/>
        <w:rPr>
          <w:rFonts w:hint="eastAsia" w:ascii="仿宋" w:hAnsi="仿宋" w:eastAsia="仿宋" w:cs="宋体"/>
          <w:color w:val="auto"/>
          <w:sz w:val="28"/>
          <w:szCs w:val="28"/>
          <w:highlight w:val="none"/>
          <w:lang w:val="en-US" w:eastAsia="zh-CN"/>
        </w:rPr>
      </w:pPr>
      <w:bookmarkStart w:id="101" w:name="_Toc174523225"/>
      <w:bookmarkStart w:id="102" w:name="_Toc174523136"/>
      <w:r>
        <w:rPr>
          <w:rFonts w:hint="eastAsia" w:ascii="仿宋" w:hAnsi="仿宋" w:eastAsia="仿宋" w:cs="宋体"/>
          <w:color w:val="auto"/>
          <w:sz w:val="28"/>
          <w:szCs w:val="28"/>
          <w:highlight w:val="none"/>
          <w:lang w:val="en-US" w:eastAsia="zh-CN"/>
        </w:rPr>
        <w:t>（十二）投标人认为需要提交的其他资料</w:t>
      </w:r>
      <w:bookmarkEnd w:id="101"/>
      <w:bookmarkEnd w:id="102"/>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6"/>
        <w:rPr>
          <w:rFonts w:hint="eastAsia"/>
          <w:color w:val="auto"/>
          <w:highlight w:val="none"/>
        </w:rPr>
      </w:pPr>
    </w:p>
    <w:p w14:paraId="56D6FCFB">
      <w:pPr>
        <w:pStyle w:val="7"/>
        <w:rPr>
          <w:rFonts w:hint="eastAsia"/>
          <w:color w:val="auto"/>
          <w:highlight w:val="none"/>
        </w:rPr>
      </w:pPr>
    </w:p>
    <w:p w14:paraId="701ABDD6">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7"/>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6"/>
        <w:spacing w:line="360" w:lineRule="auto"/>
        <w:jc w:val="left"/>
        <w:rPr>
          <w:rFonts w:hint="eastAsia" w:ascii="仿宋" w:hAnsi="仿宋" w:eastAsia="仿宋"/>
          <w:color w:val="auto"/>
          <w:sz w:val="36"/>
          <w:szCs w:val="36"/>
          <w:highlight w:val="none"/>
        </w:rPr>
      </w:pPr>
      <w:bookmarkStart w:id="103" w:name="_Toc21196"/>
      <w:bookmarkStart w:id="104" w:name="_Toc17292"/>
      <w:bookmarkStart w:id="105" w:name="_Toc174523137"/>
      <w:bookmarkStart w:id="106" w:name="_Toc124923414"/>
      <w:bookmarkStart w:id="107" w:name="_Toc174523226"/>
      <w:bookmarkStart w:id="108" w:name="_Toc129765789"/>
      <w:bookmarkStart w:id="109" w:name="_Toc124923413"/>
      <w:bookmarkStart w:id="110" w:name="_Toc129765788"/>
      <w:r>
        <w:rPr>
          <w:rFonts w:hint="eastAsia" w:ascii="仿宋" w:hAnsi="仿宋" w:eastAsia="仿宋"/>
          <w:color w:val="auto"/>
          <w:sz w:val="36"/>
          <w:szCs w:val="36"/>
          <w:highlight w:val="none"/>
        </w:rPr>
        <w:t>二、</w:t>
      </w:r>
      <w:bookmarkEnd w:id="103"/>
      <w:bookmarkEnd w:id="104"/>
      <w:r>
        <w:rPr>
          <w:rFonts w:hint="eastAsia" w:ascii="仿宋" w:hAnsi="仿宋" w:eastAsia="仿宋"/>
          <w:color w:val="auto"/>
          <w:sz w:val="36"/>
          <w:szCs w:val="36"/>
          <w:highlight w:val="none"/>
        </w:rPr>
        <w:t>商务标</w:t>
      </w:r>
      <w:bookmarkEnd w:id="105"/>
      <w:bookmarkEnd w:id="106"/>
      <w:bookmarkEnd w:id="107"/>
      <w:bookmarkEnd w:id="108"/>
    </w:p>
    <w:p w14:paraId="19D97F0D">
      <w:pPr>
        <w:pStyle w:val="31"/>
        <w:spacing w:after="156" w:line="360" w:lineRule="auto"/>
        <w:jc w:val="left"/>
        <w:rPr>
          <w:rFonts w:hint="eastAsia" w:ascii="仿宋" w:hAnsi="仿宋" w:eastAsia="仿宋"/>
          <w:color w:val="auto"/>
          <w:sz w:val="32"/>
          <w:szCs w:val="32"/>
          <w:highlight w:val="none"/>
        </w:rPr>
      </w:pPr>
    </w:p>
    <w:p w14:paraId="30527EDF">
      <w:pPr>
        <w:pStyle w:val="31"/>
        <w:spacing w:after="156" w:line="360" w:lineRule="auto"/>
        <w:jc w:val="left"/>
        <w:rPr>
          <w:rFonts w:hint="eastAsia" w:ascii="仿宋" w:hAnsi="仿宋" w:eastAsia="仿宋"/>
          <w:color w:val="auto"/>
          <w:sz w:val="32"/>
          <w:szCs w:val="32"/>
          <w:highlight w:val="none"/>
        </w:rPr>
      </w:pPr>
    </w:p>
    <w:p w14:paraId="3DEC967A">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8"/>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8"/>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8"/>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10"/>
        <w:spacing w:line="360" w:lineRule="auto"/>
        <w:rPr>
          <w:rFonts w:hint="eastAsia" w:ascii="仿宋" w:hAnsi="仿宋" w:eastAsia="仿宋"/>
          <w:color w:val="auto"/>
          <w:sz w:val="32"/>
          <w:szCs w:val="32"/>
          <w:highlight w:val="none"/>
        </w:rPr>
      </w:pPr>
      <w:bookmarkStart w:id="111" w:name="_Toc124923415"/>
      <w:bookmarkStart w:id="112" w:name="_Toc174523227"/>
      <w:bookmarkStart w:id="113" w:name="_Toc174523138"/>
      <w:r>
        <w:rPr>
          <w:rFonts w:hint="eastAsia" w:ascii="仿宋" w:hAnsi="仿宋" w:eastAsia="仿宋"/>
          <w:color w:val="auto"/>
          <w:sz w:val="32"/>
          <w:szCs w:val="32"/>
          <w:highlight w:val="none"/>
        </w:rPr>
        <w:t>（一）投标函</w:t>
      </w:r>
      <w:bookmarkEnd w:id="111"/>
      <w:bookmarkEnd w:id="112"/>
      <w:bookmarkEnd w:id="113"/>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铜陵市郊区医养结合一体化建设项目</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14" w:name="_Toc124923417"/>
      <w:bookmarkStart w:id="115" w:name="_Toc174523229"/>
      <w:bookmarkStart w:id="116" w:name="_Toc174523140"/>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14"/>
      <w:r>
        <w:rPr>
          <w:rFonts w:hint="eastAsia" w:ascii="仿宋" w:hAnsi="仿宋" w:eastAsia="仿宋"/>
          <w:color w:val="auto"/>
          <w:sz w:val="28"/>
          <w:szCs w:val="28"/>
          <w:highlight w:val="none"/>
        </w:rPr>
        <w:t>招标文件要求的其他资料</w:t>
      </w:r>
      <w:bookmarkEnd w:id="115"/>
      <w:bookmarkEnd w:id="116"/>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10"/>
        <w:spacing w:line="360" w:lineRule="auto"/>
        <w:rPr>
          <w:rFonts w:hint="eastAsia" w:ascii="仿宋" w:hAnsi="仿宋" w:eastAsia="仿宋"/>
          <w:color w:val="auto"/>
          <w:sz w:val="28"/>
          <w:szCs w:val="28"/>
          <w:highlight w:val="none"/>
        </w:rPr>
      </w:pPr>
      <w:bookmarkStart w:id="117" w:name="_Toc124923418"/>
      <w:bookmarkStart w:id="118" w:name="_Toc174523141"/>
      <w:bookmarkStart w:id="119" w:name="_Toc174523230"/>
      <w:r>
        <w:rPr>
          <w:rFonts w:hint="eastAsia" w:ascii="仿宋" w:hAnsi="仿宋" w:eastAsia="仿宋"/>
          <w:color w:val="auto"/>
          <w:sz w:val="28"/>
          <w:szCs w:val="28"/>
          <w:highlight w:val="none"/>
        </w:rPr>
        <w:t>（四）</w:t>
      </w:r>
      <w:bookmarkEnd w:id="117"/>
      <w:r>
        <w:rPr>
          <w:rFonts w:hint="eastAsia" w:ascii="仿宋" w:hAnsi="仿宋" w:eastAsia="仿宋"/>
          <w:color w:val="auto"/>
          <w:sz w:val="28"/>
          <w:szCs w:val="28"/>
          <w:highlight w:val="none"/>
        </w:rPr>
        <w:t>投标人认为需要提交的其他资料</w:t>
      </w:r>
      <w:bookmarkEnd w:id="118"/>
      <w:bookmarkEnd w:id="119"/>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6"/>
        <w:spacing w:line="360" w:lineRule="auto"/>
        <w:rPr>
          <w:rFonts w:hint="eastAsia" w:ascii="仿宋" w:hAnsi="仿宋" w:eastAsia="仿宋"/>
          <w:color w:val="auto"/>
          <w:sz w:val="32"/>
          <w:szCs w:val="32"/>
          <w:highlight w:val="none"/>
        </w:rPr>
      </w:pPr>
      <w:bookmarkStart w:id="120" w:name="_Toc174523142"/>
      <w:bookmarkStart w:id="121" w:name="_Toc174523231"/>
      <w:r>
        <w:rPr>
          <w:rFonts w:hint="eastAsia" w:ascii="仿宋" w:hAnsi="仿宋" w:eastAsia="仿宋"/>
          <w:color w:val="auto"/>
          <w:sz w:val="32"/>
          <w:szCs w:val="32"/>
          <w:highlight w:val="none"/>
        </w:rPr>
        <w:t>三、资格审查及技术标</w:t>
      </w:r>
      <w:bookmarkEnd w:id="109"/>
      <w:bookmarkEnd w:id="110"/>
      <w:bookmarkEnd w:id="120"/>
      <w:bookmarkEnd w:id="121"/>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3"/>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8"/>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8"/>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10"/>
        <w:spacing w:line="360" w:lineRule="auto"/>
        <w:rPr>
          <w:rFonts w:hint="eastAsia" w:ascii="仿宋" w:hAnsi="仿宋" w:eastAsia="仿宋"/>
          <w:color w:val="auto"/>
          <w:sz w:val="28"/>
          <w:szCs w:val="28"/>
          <w:highlight w:val="none"/>
        </w:rPr>
      </w:pPr>
      <w:bookmarkStart w:id="122" w:name="_Toc174523143"/>
      <w:bookmarkStart w:id="123" w:name="_Toc174523232"/>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22"/>
      <w:bookmarkEnd w:id="123"/>
    </w:p>
    <w:p w14:paraId="027D8BE8">
      <w:pPr>
        <w:spacing w:line="360" w:lineRule="auto"/>
        <w:rPr>
          <w:rFonts w:hint="eastAsia" w:ascii="仿宋" w:hAnsi="仿宋" w:eastAsia="仿宋"/>
          <w:color w:val="auto"/>
          <w:sz w:val="28"/>
          <w:szCs w:val="28"/>
          <w:highlight w:val="none"/>
        </w:rPr>
      </w:pPr>
    </w:p>
    <w:p w14:paraId="0ACD6C47">
      <w:pPr>
        <w:pStyle w:val="10"/>
        <w:spacing w:line="360" w:lineRule="auto"/>
        <w:rPr>
          <w:rFonts w:hint="eastAsia" w:ascii="仿宋" w:hAnsi="仿宋" w:eastAsia="仿宋"/>
          <w:color w:val="auto"/>
          <w:sz w:val="28"/>
          <w:szCs w:val="28"/>
          <w:highlight w:val="none"/>
        </w:rPr>
      </w:pPr>
      <w:bookmarkStart w:id="124" w:name="_Toc174523144"/>
      <w:bookmarkStart w:id="125" w:name="_Toc174523233"/>
      <w:r>
        <w:rPr>
          <w:rFonts w:hint="eastAsia" w:ascii="仿宋" w:hAnsi="仿宋" w:eastAsia="仿宋"/>
          <w:color w:val="auto"/>
          <w:sz w:val="28"/>
          <w:szCs w:val="28"/>
          <w:highlight w:val="none"/>
        </w:rPr>
        <w:t>（二）拟派总监理工程师实力</w:t>
      </w:r>
      <w:bookmarkEnd w:id="124"/>
      <w:bookmarkEnd w:id="125"/>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10"/>
        <w:spacing w:line="360" w:lineRule="auto"/>
        <w:rPr>
          <w:rFonts w:hint="eastAsia" w:ascii="仿宋" w:hAnsi="仿宋" w:eastAsia="仿宋"/>
          <w:color w:val="auto"/>
          <w:sz w:val="28"/>
          <w:szCs w:val="28"/>
          <w:highlight w:val="none"/>
        </w:rPr>
      </w:pPr>
      <w:bookmarkStart w:id="126" w:name="_Toc174523145"/>
      <w:bookmarkStart w:id="127" w:name="_Toc174523234"/>
      <w:r>
        <w:rPr>
          <w:rFonts w:hint="eastAsia" w:ascii="仿宋" w:hAnsi="仿宋" w:eastAsia="仿宋"/>
          <w:color w:val="auto"/>
          <w:sz w:val="28"/>
          <w:szCs w:val="28"/>
          <w:highlight w:val="none"/>
        </w:rPr>
        <w:t>（三）</w:t>
      </w:r>
      <w:bookmarkEnd w:id="126"/>
      <w:bookmarkEnd w:id="127"/>
      <w:bookmarkStart w:id="128" w:name="_Toc174523235"/>
      <w:bookmarkStart w:id="129" w:name="_Toc174523146"/>
      <w:r>
        <w:rPr>
          <w:rFonts w:hint="eastAsia" w:ascii="仿宋" w:hAnsi="仿宋" w:eastAsia="仿宋"/>
          <w:color w:val="auto"/>
          <w:sz w:val="28"/>
          <w:szCs w:val="28"/>
          <w:highlight w:val="none"/>
        </w:rPr>
        <w:t>拟派专业监理工程师实力</w:t>
      </w:r>
      <w:bookmarkEnd w:id="128"/>
      <w:bookmarkEnd w:id="129"/>
    </w:p>
    <w:p w14:paraId="13E1D2D5">
      <w:pPr>
        <w:spacing w:line="360" w:lineRule="auto"/>
        <w:rPr>
          <w:rFonts w:hint="eastAsia" w:ascii="仿宋" w:hAnsi="仿宋" w:eastAsia="仿宋"/>
          <w:color w:val="auto"/>
          <w:sz w:val="28"/>
          <w:szCs w:val="28"/>
          <w:highlight w:val="none"/>
        </w:rPr>
      </w:pPr>
    </w:p>
    <w:p w14:paraId="02B7B80E">
      <w:pPr>
        <w:pStyle w:val="10"/>
        <w:spacing w:line="360" w:lineRule="auto"/>
        <w:rPr>
          <w:rFonts w:hint="eastAsia" w:ascii="仿宋" w:hAnsi="仿宋" w:eastAsia="仿宋"/>
          <w:color w:val="auto"/>
          <w:sz w:val="28"/>
          <w:szCs w:val="28"/>
          <w:highlight w:val="none"/>
        </w:rPr>
      </w:pPr>
      <w:bookmarkStart w:id="130" w:name="_Toc174523147"/>
      <w:bookmarkStart w:id="131" w:name="_Toc174523236"/>
      <w:r>
        <w:rPr>
          <w:rFonts w:hint="eastAsia" w:ascii="仿宋" w:hAnsi="仿宋" w:eastAsia="仿宋"/>
          <w:color w:val="auto"/>
          <w:sz w:val="28"/>
          <w:szCs w:val="28"/>
          <w:highlight w:val="none"/>
        </w:rPr>
        <w:t>（四）企业类似工程业绩</w:t>
      </w:r>
      <w:bookmarkEnd w:id="130"/>
      <w:bookmarkEnd w:id="131"/>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10"/>
        <w:spacing w:line="360" w:lineRule="auto"/>
        <w:rPr>
          <w:rFonts w:hint="eastAsia" w:ascii="仿宋" w:hAnsi="仿宋" w:eastAsia="仿宋"/>
          <w:color w:val="auto"/>
          <w:sz w:val="28"/>
          <w:szCs w:val="28"/>
          <w:highlight w:val="none"/>
        </w:rPr>
      </w:pPr>
      <w:bookmarkStart w:id="132" w:name="_Toc174523237"/>
      <w:bookmarkStart w:id="133" w:name="_Toc174523148"/>
      <w:r>
        <w:rPr>
          <w:rFonts w:hint="eastAsia" w:ascii="仿宋" w:hAnsi="仿宋" w:eastAsia="仿宋"/>
          <w:color w:val="auto"/>
          <w:sz w:val="28"/>
          <w:szCs w:val="28"/>
          <w:highlight w:val="none"/>
        </w:rPr>
        <w:t>（五）企业奖项</w:t>
      </w:r>
      <w:bookmarkEnd w:id="132"/>
      <w:bookmarkEnd w:id="133"/>
    </w:p>
    <w:p w14:paraId="7B60ADD2">
      <w:pPr>
        <w:spacing w:line="360" w:lineRule="auto"/>
        <w:rPr>
          <w:rFonts w:hint="eastAsia" w:ascii="仿宋" w:hAnsi="仿宋" w:eastAsia="仿宋"/>
          <w:color w:val="auto"/>
          <w:sz w:val="28"/>
          <w:szCs w:val="28"/>
          <w:highlight w:val="none"/>
        </w:rPr>
      </w:pPr>
    </w:p>
    <w:p w14:paraId="6ED4AF3B">
      <w:pPr>
        <w:pStyle w:val="10"/>
        <w:spacing w:line="360" w:lineRule="auto"/>
        <w:rPr>
          <w:rFonts w:hint="eastAsia" w:ascii="仿宋" w:hAnsi="仿宋" w:eastAsia="仿宋"/>
          <w:color w:val="auto"/>
          <w:sz w:val="28"/>
          <w:szCs w:val="28"/>
          <w:highlight w:val="none"/>
        </w:rPr>
      </w:pPr>
      <w:bookmarkStart w:id="134" w:name="_Toc174523238"/>
      <w:bookmarkStart w:id="135" w:name="_Toc174523149"/>
      <w:r>
        <w:rPr>
          <w:rFonts w:hint="eastAsia" w:ascii="仿宋" w:hAnsi="仿宋" w:eastAsia="仿宋"/>
          <w:color w:val="auto"/>
          <w:sz w:val="28"/>
          <w:szCs w:val="28"/>
          <w:highlight w:val="none"/>
        </w:rPr>
        <w:t>（六）企业荣誉</w:t>
      </w:r>
      <w:bookmarkEnd w:id="134"/>
      <w:bookmarkEnd w:id="135"/>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10"/>
        <w:spacing w:line="360" w:lineRule="auto"/>
        <w:jc w:val="center"/>
        <w:rPr>
          <w:rFonts w:hint="eastAsia" w:ascii="仿宋" w:hAnsi="仿宋" w:eastAsia="仿宋"/>
          <w:color w:val="auto"/>
          <w:sz w:val="28"/>
          <w:szCs w:val="28"/>
          <w:highlight w:val="none"/>
        </w:rPr>
      </w:pPr>
      <w:bookmarkStart w:id="136" w:name="_Toc174523239"/>
      <w:bookmarkStart w:id="137" w:name="_Toc174523150"/>
      <w:r>
        <w:rPr>
          <w:rFonts w:hint="eastAsia" w:ascii="仿宋" w:hAnsi="仿宋" w:eastAsia="仿宋"/>
          <w:color w:val="auto"/>
          <w:sz w:val="28"/>
          <w:szCs w:val="28"/>
          <w:highlight w:val="none"/>
        </w:rPr>
        <w:t>（七）拟组建的项目监理机构人员及证书</w:t>
      </w:r>
      <w:bookmarkEnd w:id="136"/>
      <w:bookmarkEnd w:id="137"/>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10"/>
        <w:spacing w:line="360" w:lineRule="auto"/>
        <w:jc w:val="center"/>
        <w:rPr>
          <w:rFonts w:hint="eastAsia" w:ascii="仿宋" w:hAnsi="仿宋" w:eastAsia="仿宋"/>
          <w:color w:val="auto"/>
          <w:sz w:val="28"/>
          <w:szCs w:val="28"/>
          <w:highlight w:val="none"/>
        </w:rPr>
      </w:pPr>
      <w:bookmarkStart w:id="138" w:name="_Toc174523240"/>
      <w:bookmarkStart w:id="139" w:name="_Toc174523151"/>
      <w:r>
        <w:rPr>
          <w:rFonts w:hint="eastAsia" w:ascii="仿宋" w:hAnsi="仿宋" w:eastAsia="仿宋"/>
          <w:color w:val="auto"/>
          <w:sz w:val="28"/>
          <w:szCs w:val="28"/>
          <w:highlight w:val="none"/>
        </w:rPr>
        <w:t>（八）招文件要求的其他资料</w:t>
      </w:r>
      <w:bookmarkEnd w:id="138"/>
      <w:bookmarkEnd w:id="139"/>
    </w:p>
    <w:p w14:paraId="17F36650">
      <w:pPr>
        <w:spacing w:line="360" w:lineRule="auto"/>
        <w:rPr>
          <w:rFonts w:hint="eastAsia" w:ascii="仿宋" w:hAnsi="仿宋" w:eastAsia="仿宋"/>
          <w:color w:val="auto"/>
          <w:sz w:val="28"/>
          <w:szCs w:val="28"/>
          <w:highlight w:val="none"/>
        </w:rPr>
      </w:pPr>
    </w:p>
    <w:p w14:paraId="2CD801F2">
      <w:pPr>
        <w:rPr>
          <w:rFonts w:hint="eastAsia" w:ascii="仿宋" w:hAnsi="仿宋" w:eastAsia="仿宋"/>
          <w:color w:val="auto"/>
          <w:sz w:val="28"/>
          <w:szCs w:val="28"/>
          <w:highlight w:val="none"/>
        </w:rPr>
      </w:pPr>
      <w:bookmarkStart w:id="140" w:name="_Toc174523152"/>
      <w:bookmarkStart w:id="141" w:name="_Toc174523241"/>
      <w:r>
        <w:rPr>
          <w:rFonts w:hint="eastAsia" w:ascii="仿宋" w:hAnsi="仿宋" w:eastAsia="仿宋"/>
          <w:color w:val="auto"/>
          <w:sz w:val="28"/>
          <w:szCs w:val="28"/>
          <w:highlight w:val="none"/>
        </w:rPr>
        <w:br w:type="page"/>
      </w:r>
    </w:p>
    <w:p w14:paraId="4BE44AC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40"/>
      <w:bookmarkEnd w:id="141"/>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6"/>
        <w:rPr>
          <w:rFonts w:hint="eastAsia" w:ascii="仿宋" w:hAnsi="仿宋" w:eastAsia="仿宋"/>
          <w:b/>
          <w:color w:val="auto"/>
          <w:sz w:val="28"/>
          <w:szCs w:val="28"/>
          <w:highlight w:val="none"/>
        </w:rPr>
      </w:pPr>
    </w:p>
    <w:p w14:paraId="6F9E8295">
      <w:pPr>
        <w:pStyle w:val="7"/>
        <w:rPr>
          <w:rFonts w:hint="eastAsia" w:ascii="仿宋" w:hAnsi="仿宋" w:eastAsia="仿宋"/>
          <w:b/>
          <w:color w:val="auto"/>
          <w:sz w:val="28"/>
          <w:szCs w:val="28"/>
          <w:highlight w:val="none"/>
        </w:rPr>
      </w:pPr>
    </w:p>
    <w:p w14:paraId="3ECC1A00">
      <w:pPr>
        <w:pStyle w:val="7"/>
        <w:rPr>
          <w:rFonts w:hint="eastAsia" w:ascii="仿宋" w:hAnsi="仿宋" w:eastAsia="仿宋"/>
          <w:b/>
          <w:color w:val="auto"/>
          <w:sz w:val="28"/>
          <w:szCs w:val="28"/>
          <w:highlight w:val="none"/>
        </w:rPr>
      </w:pPr>
    </w:p>
    <w:p w14:paraId="4D618603">
      <w:pPr>
        <w:pStyle w:val="7"/>
        <w:rPr>
          <w:rFonts w:hint="eastAsia" w:ascii="仿宋" w:hAnsi="仿宋" w:eastAsia="仿宋"/>
          <w:b/>
          <w:color w:val="auto"/>
          <w:sz w:val="28"/>
          <w:szCs w:val="28"/>
          <w:highlight w:val="none"/>
        </w:rPr>
      </w:pPr>
    </w:p>
    <w:p w14:paraId="1DF0EA73">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7"/>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6"/>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5">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6">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7">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9">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4"/>
  </w:num>
  <w:num w:numId="2">
    <w:abstractNumId w:val="3"/>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9"/>
  </w:num>
  <w:num w:numId="4">
    <w:abstractNumId w:val="5"/>
  </w:num>
  <w:num w:numId="5">
    <w:abstractNumId w:val="11"/>
  </w:num>
  <w:num w:numId="6">
    <w:abstractNumId w:val="8"/>
  </w:num>
  <w:num w:numId="7">
    <w:abstractNumId w:val="2"/>
  </w:num>
  <w:num w:numId="8">
    <w:abstractNumId w:val="12"/>
  </w:num>
  <w:num w:numId="9">
    <w:abstractNumId w:val="6"/>
  </w:num>
  <w:num w:numId="10">
    <w:abstractNumId w:val="7"/>
  </w:num>
  <w:num w:numId="11">
    <w:abstractNumId w:val="13"/>
  </w:num>
  <w:num w:numId="12">
    <w:abstractNumId w:val="14"/>
  </w:num>
  <w:num w:numId="13">
    <w:abstractNumId w:val="10"/>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172A27"/>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87F74"/>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152F16"/>
    <w:rsid w:val="014A0AA6"/>
    <w:rsid w:val="01E23011"/>
    <w:rsid w:val="01ED4384"/>
    <w:rsid w:val="023D46EC"/>
    <w:rsid w:val="02785724"/>
    <w:rsid w:val="03667935"/>
    <w:rsid w:val="04007E45"/>
    <w:rsid w:val="05A3088D"/>
    <w:rsid w:val="05E76723"/>
    <w:rsid w:val="06856661"/>
    <w:rsid w:val="06936FD0"/>
    <w:rsid w:val="07184100"/>
    <w:rsid w:val="074F370E"/>
    <w:rsid w:val="07B13BB2"/>
    <w:rsid w:val="087854BB"/>
    <w:rsid w:val="08AB4A00"/>
    <w:rsid w:val="08B33959"/>
    <w:rsid w:val="09563D2D"/>
    <w:rsid w:val="09CA0F5B"/>
    <w:rsid w:val="0A5B31C3"/>
    <w:rsid w:val="0A83273F"/>
    <w:rsid w:val="0AA23C86"/>
    <w:rsid w:val="0B9A4DDA"/>
    <w:rsid w:val="0C155D7B"/>
    <w:rsid w:val="0CD41F4B"/>
    <w:rsid w:val="0DB94F5C"/>
    <w:rsid w:val="0E307619"/>
    <w:rsid w:val="0E6508AF"/>
    <w:rsid w:val="0ECB5317"/>
    <w:rsid w:val="0FC5762B"/>
    <w:rsid w:val="0FED54FB"/>
    <w:rsid w:val="100A1FDD"/>
    <w:rsid w:val="10150A56"/>
    <w:rsid w:val="10C3255D"/>
    <w:rsid w:val="10FD1D28"/>
    <w:rsid w:val="11616381"/>
    <w:rsid w:val="11B06C88"/>
    <w:rsid w:val="11C833BC"/>
    <w:rsid w:val="129E12B3"/>
    <w:rsid w:val="12BE57EF"/>
    <w:rsid w:val="12C243C3"/>
    <w:rsid w:val="12F83986"/>
    <w:rsid w:val="1308075A"/>
    <w:rsid w:val="132F1E2E"/>
    <w:rsid w:val="135F4389"/>
    <w:rsid w:val="14530591"/>
    <w:rsid w:val="14AE3227"/>
    <w:rsid w:val="153C286C"/>
    <w:rsid w:val="15495E93"/>
    <w:rsid w:val="157D325B"/>
    <w:rsid w:val="16427333"/>
    <w:rsid w:val="16A94A34"/>
    <w:rsid w:val="17563E82"/>
    <w:rsid w:val="1770359D"/>
    <w:rsid w:val="17DB4E57"/>
    <w:rsid w:val="17FB6783"/>
    <w:rsid w:val="18364417"/>
    <w:rsid w:val="18D62643"/>
    <w:rsid w:val="18F356AC"/>
    <w:rsid w:val="19B91D7F"/>
    <w:rsid w:val="1A907314"/>
    <w:rsid w:val="1AC25FC0"/>
    <w:rsid w:val="1B273640"/>
    <w:rsid w:val="1BBF1850"/>
    <w:rsid w:val="1C7F6EE0"/>
    <w:rsid w:val="1CA421A0"/>
    <w:rsid w:val="1CA67605"/>
    <w:rsid w:val="1D2938A7"/>
    <w:rsid w:val="1D664F0E"/>
    <w:rsid w:val="1D924618"/>
    <w:rsid w:val="1E3D18A3"/>
    <w:rsid w:val="1E876FC3"/>
    <w:rsid w:val="1EB136B9"/>
    <w:rsid w:val="1F8802AC"/>
    <w:rsid w:val="200E6461"/>
    <w:rsid w:val="208D1A4A"/>
    <w:rsid w:val="21646607"/>
    <w:rsid w:val="217A2E0F"/>
    <w:rsid w:val="22002C12"/>
    <w:rsid w:val="222F59A7"/>
    <w:rsid w:val="22B83BEE"/>
    <w:rsid w:val="22E35047"/>
    <w:rsid w:val="23294841"/>
    <w:rsid w:val="23A8308B"/>
    <w:rsid w:val="23BB7507"/>
    <w:rsid w:val="23C2284B"/>
    <w:rsid w:val="23FC3FAF"/>
    <w:rsid w:val="2421481C"/>
    <w:rsid w:val="249E0C8C"/>
    <w:rsid w:val="25317757"/>
    <w:rsid w:val="25701170"/>
    <w:rsid w:val="25A355FF"/>
    <w:rsid w:val="25B83ED2"/>
    <w:rsid w:val="25D616BE"/>
    <w:rsid w:val="25F734E2"/>
    <w:rsid w:val="25FB54D7"/>
    <w:rsid w:val="26357108"/>
    <w:rsid w:val="26826FEE"/>
    <w:rsid w:val="26830B71"/>
    <w:rsid w:val="269B185D"/>
    <w:rsid w:val="2764282D"/>
    <w:rsid w:val="28046900"/>
    <w:rsid w:val="289C5398"/>
    <w:rsid w:val="28DB0637"/>
    <w:rsid w:val="29072204"/>
    <w:rsid w:val="2976035F"/>
    <w:rsid w:val="29C63095"/>
    <w:rsid w:val="2A724D42"/>
    <w:rsid w:val="2AED03E7"/>
    <w:rsid w:val="2AFB63C1"/>
    <w:rsid w:val="2B496BC7"/>
    <w:rsid w:val="2B4B02EF"/>
    <w:rsid w:val="2BB96368"/>
    <w:rsid w:val="2C043A01"/>
    <w:rsid w:val="2C4D4467"/>
    <w:rsid w:val="2D3F325B"/>
    <w:rsid w:val="2D684739"/>
    <w:rsid w:val="2DBC5930"/>
    <w:rsid w:val="2DEE48EE"/>
    <w:rsid w:val="2DEE59C3"/>
    <w:rsid w:val="2DFE31A4"/>
    <w:rsid w:val="2EF05516"/>
    <w:rsid w:val="2F5E443E"/>
    <w:rsid w:val="2F7D6077"/>
    <w:rsid w:val="2FE73FD8"/>
    <w:rsid w:val="307549C3"/>
    <w:rsid w:val="30B75300"/>
    <w:rsid w:val="30F235F0"/>
    <w:rsid w:val="313A1C72"/>
    <w:rsid w:val="314309AE"/>
    <w:rsid w:val="31717D8A"/>
    <w:rsid w:val="320729D3"/>
    <w:rsid w:val="32D41ACF"/>
    <w:rsid w:val="32D6779A"/>
    <w:rsid w:val="32EF46C6"/>
    <w:rsid w:val="33324A5C"/>
    <w:rsid w:val="33934BB3"/>
    <w:rsid w:val="33DA3D78"/>
    <w:rsid w:val="34237336"/>
    <w:rsid w:val="347656B7"/>
    <w:rsid w:val="348576A9"/>
    <w:rsid w:val="351B241E"/>
    <w:rsid w:val="35242D0E"/>
    <w:rsid w:val="356B4AF0"/>
    <w:rsid w:val="35BE10C4"/>
    <w:rsid w:val="360F7B72"/>
    <w:rsid w:val="3687590B"/>
    <w:rsid w:val="36B42CF4"/>
    <w:rsid w:val="3701232D"/>
    <w:rsid w:val="37BE0F24"/>
    <w:rsid w:val="38C06F01"/>
    <w:rsid w:val="39003C49"/>
    <w:rsid w:val="39472CE8"/>
    <w:rsid w:val="39733963"/>
    <w:rsid w:val="3A04538C"/>
    <w:rsid w:val="3A65487A"/>
    <w:rsid w:val="3A8E1BD7"/>
    <w:rsid w:val="3AC8111F"/>
    <w:rsid w:val="3B730BF8"/>
    <w:rsid w:val="3BE42E37"/>
    <w:rsid w:val="3C1F3929"/>
    <w:rsid w:val="3CAB016D"/>
    <w:rsid w:val="3CE851D3"/>
    <w:rsid w:val="3D0F5155"/>
    <w:rsid w:val="3D323D66"/>
    <w:rsid w:val="3DD0408A"/>
    <w:rsid w:val="3E5E3FF8"/>
    <w:rsid w:val="3E9F5E54"/>
    <w:rsid w:val="3ED44EAD"/>
    <w:rsid w:val="3F603DDE"/>
    <w:rsid w:val="3F741C75"/>
    <w:rsid w:val="3FE536F1"/>
    <w:rsid w:val="40C83BB8"/>
    <w:rsid w:val="40DB0AEF"/>
    <w:rsid w:val="416342F4"/>
    <w:rsid w:val="41977967"/>
    <w:rsid w:val="41C10754"/>
    <w:rsid w:val="436844EA"/>
    <w:rsid w:val="43C26718"/>
    <w:rsid w:val="43F6017E"/>
    <w:rsid w:val="44095C00"/>
    <w:rsid w:val="44177745"/>
    <w:rsid w:val="443B6E61"/>
    <w:rsid w:val="445E0D04"/>
    <w:rsid w:val="446B5894"/>
    <w:rsid w:val="44CE6E4A"/>
    <w:rsid w:val="44FF34A7"/>
    <w:rsid w:val="45163466"/>
    <w:rsid w:val="464D0671"/>
    <w:rsid w:val="46611BB8"/>
    <w:rsid w:val="46E72E18"/>
    <w:rsid w:val="46FF32EA"/>
    <w:rsid w:val="478B7D6C"/>
    <w:rsid w:val="47925F0D"/>
    <w:rsid w:val="47BA5224"/>
    <w:rsid w:val="480C3F11"/>
    <w:rsid w:val="48E7672C"/>
    <w:rsid w:val="490D7DE5"/>
    <w:rsid w:val="49FA0F96"/>
    <w:rsid w:val="49FE6836"/>
    <w:rsid w:val="4A422C68"/>
    <w:rsid w:val="4B2C48CA"/>
    <w:rsid w:val="4B463CC4"/>
    <w:rsid w:val="4B4F3550"/>
    <w:rsid w:val="4BE30B37"/>
    <w:rsid w:val="4CA734B4"/>
    <w:rsid w:val="4CC07A8C"/>
    <w:rsid w:val="4D3F1039"/>
    <w:rsid w:val="4D626892"/>
    <w:rsid w:val="4E8C5D65"/>
    <w:rsid w:val="4E980CB9"/>
    <w:rsid w:val="4EB8761D"/>
    <w:rsid w:val="4EBD3414"/>
    <w:rsid w:val="4EED5598"/>
    <w:rsid w:val="4F0346E0"/>
    <w:rsid w:val="4F5237B4"/>
    <w:rsid w:val="504306EC"/>
    <w:rsid w:val="50B67110"/>
    <w:rsid w:val="50CF5102"/>
    <w:rsid w:val="50D61AAB"/>
    <w:rsid w:val="513F19E0"/>
    <w:rsid w:val="51646B6C"/>
    <w:rsid w:val="51D04201"/>
    <w:rsid w:val="51F63592"/>
    <w:rsid w:val="521A722A"/>
    <w:rsid w:val="52FF650D"/>
    <w:rsid w:val="531D00A9"/>
    <w:rsid w:val="53256836"/>
    <w:rsid w:val="53514022"/>
    <w:rsid w:val="54921369"/>
    <w:rsid w:val="54B1250E"/>
    <w:rsid w:val="54D542B8"/>
    <w:rsid w:val="55083CB2"/>
    <w:rsid w:val="56133344"/>
    <w:rsid w:val="56184BC0"/>
    <w:rsid w:val="56311020"/>
    <w:rsid w:val="57646B6A"/>
    <w:rsid w:val="57B32566"/>
    <w:rsid w:val="581A4428"/>
    <w:rsid w:val="597217BB"/>
    <w:rsid w:val="59AB7B09"/>
    <w:rsid w:val="5A8C4CE6"/>
    <w:rsid w:val="5ABD0186"/>
    <w:rsid w:val="5B3752F1"/>
    <w:rsid w:val="5BF67FA5"/>
    <w:rsid w:val="5C547370"/>
    <w:rsid w:val="5D704AEA"/>
    <w:rsid w:val="5D9734A9"/>
    <w:rsid w:val="5DCD2BFE"/>
    <w:rsid w:val="5DE15550"/>
    <w:rsid w:val="5E3D49CC"/>
    <w:rsid w:val="5E5732CD"/>
    <w:rsid w:val="5EF17565"/>
    <w:rsid w:val="5F461CEA"/>
    <w:rsid w:val="605A3412"/>
    <w:rsid w:val="61AE798F"/>
    <w:rsid w:val="61DC0375"/>
    <w:rsid w:val="61DD4431"/>
    <w:rsid w:val="635C4A9D"/>
    <w:rsid w:val="63974B7F"/>
    <w:rsid w:val="63D15CB2"/>
    <w:rsid w:val="649733E0"/>
    <w:rsid w:val="6541080E"/>
    <w:rsid w:val="65554CF2"/>
    <w:rsid w:val="657E1086"/>
    <w:rsid w:val="658574A0"/>
    <w:rsid w:val="658C4A64"/>
    <w:rsid w:val="65B42EAD"/>
    <w:rsid w:val="66991DDD"/>
    <w:rsid w:val="66C368EC"/>
    <w:rsid w:val="66E32555"/>
    <w:rsid w:val="676C0B30"/>
    <w:rsid w:val="67871AEB"/>
    <w:rsid w:val="67D839B8"/>
    <w:rsid w:val="6869321B"/>
    <w:rsid w:val="691055F9"/>
    <w:rsid w:val="693B292E"/>
    <w:rsid w:val="696F232C"/>
    <w:rsid w:val="69A34262"/>
    <w:rsid w:val="69F33B09"/>
    <w:rsid w:val="6AE85CC0"/>
    <w:rsid w:val="6B3A2F6A"/>
    <w:rsid w:val="6D2745DE"/>
    <w:rsid w:val="6DFA4688"/>
    <w:rsid w:val="6E805A20"/>
    <w:rsid w:val="6F1A7015"/>
    <w:rsid w:val="6F4F64F9"/>
    <w:rsid w:val="6FED4E3E"/>
    <w:rsid w:val="705826DF"/>
    <w:rsid w:val="71DB79E9"/>
    <w:rsid w:val="72640322"/>
    <w:rsid w:val="72C708B1"/>
    <w:rsid w:val="736A3563"/>
    <w:rsid w:val="73987B8B"/>
    <w:rsid w:val="73BD1759"/>
    <w:rsid w:val="74116101"/>
    <w:rsid w:val="747E5DF9"/>
    <w:rsid w:val="748E296B"/>
    <w:rsid w:val="75C86E1A"/>
    <w:rsid w:val="75EF2DEF"/>
    <w:rsid w:val="75F54428"/>
    <w:rsid w:val="76437FD5"/>
    <w:rsid w:val="767B665E"/>
    <w:rsid w:val="769177C5"/>
    <w:rsid w:val="76B16AD4"/>
    <w:rsid w:val="76BB049C"/>
    <w:rsid w:val="77BE11C0"/>
    <w:rsid w:val="77EE0202"/>
    <w:rsid w:val="78985D43"/>
    <w:rsid w:val="78A74AFF"/>
    <w:rsid w:val="78AF606F"/>
    <w:rsid w:val="78DD5FED"/>
    <w:rsid w:val="793A1DDD"/>
    <w:rsid w:val="7961668B"/>
    <w:rsid w:val="7AE108DD"/>
    <w:rsid w:val="7AF63020"/>
    <w:rsid w:val="7AF63E96"/>
    <w:rsid w:val="7B113251"/>
    <w:rsid w:val="7B393CE7"/>
    <w:rsid w:val="7B587171"/>
    <w:rsid w:val="7BDF36B6"/>
    <w:rsid w:val="7CC111D6"/>
    <w:rsid w:val="7CC51603"/>
    <w:rsid w:val="7DA13610"/>
    <w:rsid w:val="7DE208F8"/>
    <w:rsid w:val="7E26696A"/>
    <w:rsid w:val="7E957C9F"/>
    <w:rsid w:val="7EB919F5"/>
    <w:rsid w:val="7F091AFB"/>
    <w:rsid w:val="7F116BFC"/>
    <w:rsid w:val="7F9649B7"/>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5">
    <w:name w:val="heading 1"/>
    <w:basedOn w:val="1"/>
    <w:next w:val="1"/>
    <w:link w:val="77"/>
    <w:qFormat/>
    <w:uiPriority w:val="9"/>
    <w:pPr>
      <w:adjustRightInd w:val="0"/>
      <w:jc w:val="center"/>
      <w:outlineLvl w:val="0"/>
    </w:pPr>
    <w:rPr>
      <w:b/>
      <w:bCs/>
      <w:sz w:val="30"/>
      <w:szCs w:val="36"/>
    </w:rPr>
  </w:style>
  <w:style w:type="paragraph" w:styleId="6">
    <w:name w:val="heading 2"/>
    <w:basedOn w:val="1"/>
    <w:next w:val="7"/>
    <w:link w:val="78"/>
    <w:qFormat/>
    <w:uiPriority w:val="9"/>
    <w:pPr>
      <w:spacing w:before="54"/>
      <w:jc w:val="center"/>
      <w:outlineLvl w:val="1"/>
    </w:pPr>
    <w:rPr>
      <w:b/>
      <w:bCs/>
      <w:sz w:val="32"/>
      <w:szCs w:val="32"/>
    </w:rPr>
  </w:style>
  <w:style w:type="paragraph" w:styleId="10">
    <w:name w:val="heading 3"/>
    <w:basedOn w:val="1"/>
    <w:next w:val="1"/>
    <w:link w:val="79"/>
    <w:unhideWhenUsed/>
    <w:qFormat/>
    <w:uiPriority w:val="0"/>
    <w:pPr>
      <w:keepNext/>
      <w:keepLines/>
      <w:outlineLvl w:val="2"/>
    </w:pPr>
    <w:rPr>
      <w:b/>
      <w:bCs/>
      <w:sz w:val="28"/>
      <w:szCs w:val="32"/>
    </w:rPr>
  </w:style>
  <w:style w:type="paragraph" w:styleId="11">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12">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3">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4">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5">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6">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57"/>
    <w:qFormat/>
    <w:uiPriority w:val="0"/>
    <w:pPr>
      <w:ind w:firstLine="200" w:firstLineChars="200"/>
    </w:pPr>
  </w:style>
  <w:style w:type="paragraph" w:styleId="3">
    <w:name w:val="Body Text Indent"/>
    <w:basedOn w:val="1"/>
    <w:next w:val="4"/>
    <w:link w:val="152"/>
    <w:unhideWhenUsed/>
    <w:qFormat/>
    <w:uiPriority w:val="99"/>
    <w:pPr>
      <w:spacing w:after="120"/>
      <w:ind w:left="420" w:leftChars="200"/>
    </w:pPr>
  </w:style>
  <w:style w:type="paragraph" w:styleId="4">
    <w:name w:val="envelope return"/>
    <w:basedOn w:val="1"/>
    <w:qFormat/>
    <w:uiPriority w:val="0"/>
    <w:pPr>
      <w:autoSpaceDE/>
      <w:autoSpaceDN/>
      <w:spacing w:line="240" w:lineRule="auto"/>
      <w:jc w:val="both"/>
    </w:pPr>
    <w:rPr>
      <w:rFonts w:ascii="Arial" w:hAnsi="Arial" w:cs="Times New Roman"/>
      <w:szCs w:val="20"/>
    </w:rPr>
  </w:style>
  <w:style w:type="paragraph" w:styleId="7">
    <w:name w:val="Body Text First Indent"/>
    <w:basedOn w:val="8"/>
    <w:qFormat/>
    <w:uiPriority w:val="0"/>
    <w:pPr>
      <w:spacing w:line="312" w:lineRule="auto"/>
      <w:ind w:firstLine="420"/>
    </w:pPr>
    <w:rPr>
      <w:rFonts w:ascii="Times New Roman" w:hAnsi="Times New Roman"/>
      <w:szCs w:val="24"/>
    </w:rPr>
  </w:style>
  <w:style w:type="paragraph" w:styleId="8">
    <w:name w:val="Body Text"/>
    <w:basedOn w:val="1"/>
    <w:next w:val="9"/>
    <w:link w:val="86"/>
    <w:qFormat/>
    <w:uiPriority w:val="99"/>
    <w:rPr>
      <w:szCs w:val="24"/>
    </w:rPr>
  </w:style>
  <w:style w:type="paragraph" w:customStyle="1" w:styleId="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7">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8">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9">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20">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21">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22">
    <w:name w:val="annotation text"/>
    <w:basedOn w:val="1"/>
    <w:link w:val="89"/>
    <w:unhideWhenUsed/>
    <w:qFormat/>
    <w:uiPriority w:val="0"/>
    <w:pPr>
      <w:snapToGrid/>
      <w:spacing w:line="240" w:lineRule="auto"/>
    </w:pPr>
    <w:rPr>
      <w:sz w:val="22"/>
    </w:rPr>
  </w:style>
  <w:style w:type="paragraph" w:styleId="23">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4">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5">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6">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7">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8">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9">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30">
    <w:name w:val="toc 3"/>
    <w:basedOn w:val="1"/>
    <w:next w:val="1"/>
    <w:unhideWhenUsed/>
    <w:qFormat/>
    <w:uiPriority w:val="39"/>
    <w:pPr>
      <w:ind w:left="840" w:leftChars="400"/>
    </w:pPr>
  </w:style>
  <w:style w:type="paragraph" w:styleId="31">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2">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3">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4">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5">
    <w:name w:val="Balloon Text"/>
    <w:basedOn w:val="1"/>
    <w:link w:val="90"/>
    <w:unhideWhenUsed/>
    <w:qFormat/>
    <w:uiPriority w:val="0"/>
    <w:pPr>
      <w:spacing w:line="240" w:lineRule="auto"/>
    </w:pPr>
    <w:rPr>
      <w:sz w:val="18"/>
      <w:szCs w:val="18"/>
    </w:rPr>
  </w:style>
  <w:style w:type="paragraph" w:styleId="36">
    <w:name w:val="footer"/>
    <w:basedOn w:val="1"/>
    <w:link w:val="393"/>
    <w:unhideWhenUsed/>
    <w:qFormat/>
    <w:uiPriority w:val="0"/>
    <w:pPr>
      <w:tabs>
        <w:tab w:val="center" w:pos="4153"/>
        <w:tab w:val="right" w:pos="8306"/>
      </w:tabs>
    </w:pPr>
    <w:rPr>
      <w:sz w:val="18"/>
      <w:szCs w:val="18"/>
    </w:rPr>
  </w:style>
  <w:style w:type="paragraph" w:styleId="37">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8">
    <w:name w:val="toc 1"/>
    <w:basedOn w:val="1"/>
    <w:next w:val="1"/>
    <w:unhideWhenUsed/>
    <w:qFormat/>
    <w:uiPriority w:val="39"/>
  </w:style>
  <w:style w:type="paragraph" w:styleId="39">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40">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1">
    <w:name w:val="index heading"/>
    <w:basedOn w:val="1"/>
    <w:next w:val="42"/>
    <w:qFormat/>
    <w:uiPriority w:val="0"/>
    <w:pPr>
      <w:autoSpaceDE/>
      <w:autoSpaceDN/>
      <w:snapToGrid/>
      <w:spacing w:line="240" w:lineRule="auto"/>
      <w:jc w:val="both"/>
    </w:pPr>
    <w:rPr>
      <w:rFonts w:hAnsi="Times New Roman" w:cs="Times New Roman"/>
      <w:szCs w:val="20"/>
    </w:rPr>
  </w:style>
  <w:style w:type="paragraph" w:styleId="42">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3">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4">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5">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6">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7">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8">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9">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50">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1">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2">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3">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4">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5">
    <w:name w:val="Title"/>
    <w:basedOn w:val="1"/>
    <w:link w:val="87"/>
    <w:qFormat/>
    <w:uiPriority w:val="1"/>
    <w:pPr>
      <w:ind w:left="718"/>
    </w:pPr>
    <w:rPr>
      <w:b/>
      <w:bCs/>
      <w:sz w:val="84"/>
      <w:szCs w:val="84"/>
    </w:rPr>
  </w:style>
  <w:style w:type="paragraph" w:styleId="56">
    <w:name w:val="annotation subject"/>
    <w:basedOn w:val="22"/>
    <w:next w:val="22"/>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7"/>
    <w:qFormat/>
    <w:uiPriority w:val="0"/>
    <w:rPr>
      <w:sz w:val="18"/>
      <w:szCs w:val="18"/>
    </w:rPr>
  </w:style>
  <w:style w:type="character" w:customStyle="1" w:styleId="76">
    <w:name w:val="页脚 字符"/>
    <w:basedOn w:val="59"/>
    <w:link w:val="36"/>
    <w:qFormat/>
    <w:uiPriority w:val="0"/>
    <w:rPr>
      <w:sz w:val="18"/>
      <w:szCs w:val="18"/>
    </w:rPr>
  </w:style>
  <w:style w:type="character" w:customStyle="1" w:styleId="77">
    <w:name w:val="标题 1 字符"/>
    <w:basedOn w:val="59"/>
    <w:link w:val="5"/>
    <w:qFormat/>
    <w:uiPriority w:val="9"/>
    <w:rPr>
      <w:rFonts w:ascii="宋体" w:hAnsi="宋体" w:eastAsia="宋体" w:cs="宋体"/>
      <w:b/>
      <w:bCs/>
      <w:kern w:val="0"/>
      <w:sz w:val="30"/>
      <w:szCs w:val="36"/>
    </w:rPr>
  </w:style>
  <w:style w:type="character" w:customStyle="1" w:styleId="78">
    <w:name w:val="标题 2 字符"/>
    <w:basedOn w:val="59"/>
    <w:link w:val="6"/>
    <w:qFormat/>
    <w:uiPriority w:val="9"/>
    <w:rPr>
      <w:rFonts w:ascii="宋体" w:hAnsi="宋体" w:eastAsia="宋体" w:cs="宋体"/>
      <w:b/>
      <w:bCs/>
      <w:kern w:val="0"/>
      <w:sz w:val="32"/>
      <w:szCs w:val="32"/>
    </w:rPr>
  </w:style>
  <w:style w:type="character" w:customStyle="1" w:styleId="79">
    <w:name w:val="标题 3 字符"/>
    <w:basedOn w:val="59"/>
    <w:link w:val="10"/>
    <w:qFormat/>
    <w:uiPriority w:val="0"/>
    <w:rPr>
      <w:rFonts w:ascii="宋体" w:hAnsi="宋体" w:eastAsia="宋体" w:cs="宋体"/>
      <w:b/>
      <w:bCs/>
      <w:kern w:val="0"/>
      <w:sz w:val="28"/>
      <w:szCs w:val="32"/>
    </w:rPr>
  </w:style>
  <w:style w:type="character" w:customStyle="1" w:styleId="80">
    <w:name w:val="标题 4 字符"/>
    <w:basedOn w:val="59"/>
    <w:link w:val="11"/>
    <w:qFormat/>
    <w:uiPriority w:val="9"/>
    <w:rPr>
      <w:rFonts w:ascii="Arial" w:hAnsi="Arial" w:eastAsia="宋体" w:cs="Times New Roman"/>
      <w:sz w:val="28"/>
    </w:rPr>
  </w:style>
  <w:style w:type="character" w:customStyle="1" w:styleId="81">
    <w:name w:val="标题 5 字符"/>
    <w:basedOn w:val="59"/>
    <w:link w:val="12"/>
    <w:qFormat/>
    <w:uiPriority w:val="0"/>
    <w:rPr>
      <w:rFonts w:ascii="宋体" w:hAnsi="宋体" w:eastAsia="宋体" w:cs="Times New Roman"/>
      <w:b/>
      <w:bCs/>
      <w:kern w:val="0"/>
      <w:sz w:val="28"/>
      <w:szCs w:val="28"/>
    </w:rPr>
  </w:style>
  <w:style w:type="character" w:customStyle="1" w:styleId="82">
    <w:name w:val="标题 6 字符"/>
    <w:basedOn w:val="59"/>
    <w:link w:val="13"/>
    <w:qFormat/>
    <w:uiPriority w:val="0"/>
    <w:rPr>
      <w:rFonts w:ascii="Calibri Light" w:hAnsi="Calibri Light" w:eastAsia="宋体" w:cs="Times New Roman"/>
      <w:b/>
      <w:bCs/>
      <w:kern w:val="0"/>
      <w:sz w:val="24"/>
      <w:szCs w:val="20"/>
    </w:rPr>
  </w:style>
  <w:style w:type="character" w:customStyle="1" w:styleId="83">
    <w:name w:val="标题 7 字符"/>
    <w:basedOn w:val="59"/>
    <w:link w:val="14"/>
    <w:qFormat/>
    <w:uiPriority w:val="0"/>
    <w:rPr>
      <w:rFonts w:ascii="CG Times" w:hAnsi="CG Times" w:eastAsia="宋体" w:cs="Times New Roman"/>
      <w:kern w:val="0"/>
      <w:sz w:val="22"/>
      <w:szCs w:val="20"/>
      <w:lang w:val="en-GB"/>
    </w:rPr>
  </w:style>
  <w:style w:type="character" w:customStyle="1" w:styleId="84">
    <w:name w:val="标题 8 字符"/>
    <w:basedOn w:val="59"/>
    <w:link w:val="15"/>
    <w:qFormat/>
    <w:uiPriority w:val="0"/>
    <w:rPr>
      <w:rFonts w:ascii="CG Times" w:hAnsi="CG Times" w:eastAsia="宋体" w:cs="Times New Roman"/>
      <w:kern w:val="0"/>
      <w:sz w:val="22"/>
      <w:szCs w:val="20"/>
      <w:lang w:val="en-GB"/>
    </w:rPr>
  </w:style>
  <w:style w:type="character" w:customStyle="1" w:styleId="85">
    <w:name w:val="标题 9 字符"/>
    <w:basedOn w:val="59"/>
    <w:link w:val="16"/>
    <w:qFormat/>
    <w:uiPriority w:val="0"/>
    <w:rPr>
      <w:rFonts w:ascii="CG Times" w:hAnsi="CG Times" w:eastAsia="宋体" w:cs="Times New Roman"/>
      <w:b/>
      <w:smallCaps/>
      <w:kern w:val="0"/>
      <w:szCs w:val="20"/>
      <w:lang w:val="en-GB"/>
    </w:rPr>
  </w:style>
  <w:style w:type="character" w:customStyle="1" w:styleId="86">
    <w:name w:val="正文文本 字符"/>
    <w:basedOn w:val="59"/>
    <w:link w:val="8"/>
    <w:qFormat/>
    <w:uiPriority w:val="99"/>
    <w:rPr>
      <w:rFonts w:ascii="宋体" w:hAnsi="宋体" w:eastAsia="宋体" w:cs="宋体"/>
      <w:kern w:val="0"/>
      <w:sz w:val="24"/>
      <w:szCs w:val="24"/>
    </w:rPr>
  </w:style>
  <w:style w:type="character" w:customStyle="1" w:styleId="87">
    <w:name w:val="标题 字符"/>
    <w:basedOn w:val="59"/>
    <w:link w:val="55"/>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22"/>
    <w:qFormat/>
    <w:uiPriority w:val="0"/>
    <w:rPr>
      <w:rFonts w:ascii="宋体" w:hAnsi="宋体" w:eastAsia="宋体" w:cs="宋体"/>
      <w:kern w:val="0"/>
      <w:sz w:val="22"/>
    </w:rPr>
  </w:style>
  <w:style w:type="character" w:customStyle="1" w:styleId="90">
    <w:name w:val="批注框文本 字符"/>
    <w:basedOn w:val="59"/>
    <w:link w:val="35"/>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5"/>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6"/>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21"/>
    <w:qFormat/>
    <w:uiPriority w:val="99"/>
    <w:rPr>
      <w:rFonts w:ascii="宋体" w:hAnsi="Calibri" w:cs="Times New Roman"/>
      <w:sz w:val="24"/>
      <w:szCs w:val="24"/>
    </w:rPr>
  </w:style>
  <w:style w:type="character" w:customStyle="1" w:styleId="98">
    <w:name w:val="纯文本 字符"/>
    <w:link w:val="31"/>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3"/>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5"/>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6"/>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50"/>
    <w:qFormat/>
    <w:uiPriority w:val="99"/>
    <w:rPr>
      <w:rFonts w:ascii="Calibri" w:hAnsi="Calibri" w:eastAsia="宋体" w:cs="Times New Roman"/>
      <w:sz w:val="24"/>
    </w:rPr>
  </w:style>
  <w:style w:type="character" w:customStyle="1" w:styleId="111">
    <w:name w:val="日期 字符"/>
    <w:basedOn w:val="59"/>
    <w:link w:val="33"/>
    <w:qFormat/>
    <w:uiPriority w:val="0"/>
  </w:style>
  <w:style w:type="character" w:customStyle="1" w:styleId="112">
    <w:name w:val="search-in-page-highlight-wrapper"/>
    <w:basedOn w:val="59"/>
    <w:qFormat/>
    <w:uiPriority w:val="0"/>
  </w:style>
  <w:style w:type="character" w:customStyle="1" w:styleId="113">
    <w:name w:val="正文文本 3 字符"/>
    <w:link w:val="24"/>
    <w:qFormat/>
    <w:uiPriority w:val="99"/>
    <w:rPr>
      <w:rFonts w:ascii="Calibri" w:hAnsi="Calibri" w:eastAsia="宋体" w:cs="Times New Roman"/>
      <w:sz w:val="16"/>
      <w:szCs w:val="16"/>
    </w:rPr>
  </w:style>
  <w:style w:type="character" w:customStyle="1" w:styleId="114">
    <w:name w:val="HTML 预设格式 字符"/>
    <w:link w:val="53"/>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6"/>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5"/>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6"/>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8"/>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11"/>
    <w:next w:val="1"/>
    <w:qFormat/>
    <w:uiPriority w:val="0"/>
    <w:pPr>
      <w:numPr>
        <w:ilvl w:val="2"/>
        <w:numId w:val="6"/>
      </w:numPr>
    </w:pPr>
  </w:style>
  <w:style w:type="paragraph" w:customStyle="1" w:styleId="136">
    <w:name w:val="LIST ALPHA CAPS 2"/>
    <w:basedOn w:val="1"/>
    <w:next w:val="50"/>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10"/>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4"/>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6"/>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3"/>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2"/>
    <w:qFormat/>
    <w:uiPriority w:val="0"/>
    <w:rPr>
      <w:rFonts w:ascii="宋体" w:hAnsi="宋体" w:eastAsia="宋体" w:cs="宋体"/>
      <w:kern w:val="0"/>
      <w:sz w:val="24"/>
      <w:szCs w:val="22"/>
    </w:rPr>
  </w:style>
  <w:style w:type="character" w:customStyle="1" w:styleId="158">
    <w:name w:val="称呼 字符"/>
    <w:basedOn w:val="59"/>
    <w:link w:val="23"/>
    <w:qFormat/>
    <w:uiPriority w:val="0"/>
    <w:rPr>
      <w:rFonts w:ascii="仿宋_GB2312" w:eastAsia="仿宋_GB2312"/>
      <w:sz w:val="28"/>
    </w:rPr>
  </w:style>
  <w:style w:type="character" w:customStyle="1" w:styleId="159">
    <w:name w:val="正文文本缩进 2 字符"/>
    <w:basedOn w:val="59"/>
    <w:link w:val="34"/>
    <w:qFormat/>
    <w:uiPriority w:val="0"/>
    <w:rPr>
      <w:rFonts w:ascii="宋体" w:hAnsi="Microsoft Sans Serif"/>
      <w:bCs/>
      <w:spacing w:val="12"/>
      <w:sz w:val="24"/>
    </w:rPr>
  </w:style>
  <w:style w:type="character" w:customStyle="1" w:styleId="160">
    <w:name w:val="脚注文本 字符"/>
    <w:basedOn w:val="59"/>
    <w:link w:val="45"/>
    <w:qFormat/>
    <w:uiPriority w:val="0"/>
    <w:rPr>
      <w:rFonts w:ascii="宋体"/>
      <w:sz w:val="18"/>
      <w:szCs w:val="18"/>
    </w:rPr>
  </w:style>
  <w:style w:type="character" w:customStyle="1" w:styleId="161">
    <w:name w:val="正文文本缩进 3 字符"/>
    <w:basedOn w:val="59"/>
    <w:link w:val="47"/>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6"/>
    <w:next w:val="28"/>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10"/>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10"/>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6"/>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1"/>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5"/>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9"/>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6"/>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90</Pages>
  <Words>36377</Words>
  <Characters>38577</Characters>
  <Lines>489</Lines>
  <Paragraphs>137</Paragraphs>
  <TotalTime>1</TotalTime>
  <ScaleCrop>false</ScaleCrop>
  <LinksUpToDate>false</LinksUpToDate>
  <CharactersWithSpaces>40157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随缘</cp:lastModifiedBy>
  <cp:lastPrinted>2024-11-12T05:36:00Z</cp:lastPrinted>
  <dcterms:modified xsi:type="dcterms:W3CDTF">2026-03-04T02:45:29Z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51035BB9C7C4421391345620753F7533_13</vt:lpwstr>
  </property>
  <property fmtid="{D5CDD505-2E9C-101B-9397-08002B2CF9AE}" pid="4" name="KSOTemplateDocerSaveRecord">
    <vt:lpwstr>eyJoZGlkIjoiMDYyYzVlMDg3ODllOTZjMWZhM2IzMDcyNjc4YmM3NzciLCJ1c2VySWQiOiIxMTcyOTM1MDA3In0=</vt:lpwstr>
  </property>
</Properties>
</file>