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947670">
      <w:pPr>
        <w:widowControl/>
        <w:shd w:val="clear" w:color="auto" w:fill="FFFFFF"/>
        <w:spacing w:line="630" w:lineRule="atLeast"/>
        <w:jc w:val="center"/>
        <w:rPr>
          <w:rFonts w:ascii="微软雅黑" w:hAnsi="微软雅黑" w:eastAsia="微软雅黑" w:cs="微软雅黑"/>
          <w:color w:val="auto"/>
          <w:kern w:val="0"/>
          <w:sz w:val="39"/>
          <w:szCs w:val="39"/>
          <w:highlight w:val="none"/>
          <w:shd w:val="clear" w:color="auto" w:fill="FFFFFF"/>
        </w:rPr>
      </w:pPr>
      <w:r>
        <w:rPr>
          <w:rFonts w:hint="eastAsia" w:ascii="微软雅黑" w:hAnsi="微软雅黑" w:eastAsia="微软雅黑" w:cs="微软雅黑"/>
          <w:color w:val="auto"/>
          <w:kern w:val="0"/>
          <w:sz w:val="39"/>
          <w:szCs w:val="39"/>
          <w:highlight w:val="none"/>
          <w:shd w:val="clear" w:color="auto" w:fill="FFFFFF"/>
        </w:rPr>
        <w:t>金诚投资集团建设工程质量第三方检测服务库</w:t>
      </w:r>
    </w:p>
    <w:p w14:paraId="4A916B2C">
      <w:pPr>
        <w:widowControl/>
        <w:shd w:val="clear" w:color="auto" w:fill="FFFFFF"/>
        <w:spacing w:line="630" w:lineRule="atLeast"/>
        <w:jc w:val="center"/>
        <w:rPr>
          <w:rFonts w:ascii="微软雅黑" w:hAnsi="微软雅黑" w:eastAsia="微软雅黑" w:cs="微软雅黑"/>
          <w:color w:val="auto"/>
          <w:sz w:val="39"/>
          <w:szCs w:val="39"/>
          <w:highlight w:val="none"/>
        </w:rPr>
      </w:pPr>
      <w:r>
        <w:rPr>
          <w:rFonts w:hint="eastAsia" w:ascii="微软雅黑" w:hAnsi="微软雅黑" w:eastAsia="微软雅黑" w:cs="微软雅黑"/>
          <w:color w:val="auto"/>
          <w:kern w:val="0"/>
          <w:sz w:val="39"/>
          <w:szCs w:val="39"/>
          <w:highlight w:val="none"/>
          <w:shd w:val="clear" w:color="auto" w:fill="FFFFFF"/>
        </w:rPr>
        <w:t>征集公告</w:t>
      </w:r>
    </w:p>
    <w:p w14:paraId="678A1A93">
      <w:pPr>
        <w:widowControl/>
        <w:spacing w:line="420" w:lineRule="atLeast"/>
        <w:ind w:firstLine="645"/>
        <w:rPr>
          <w:rFonts w:ascii="仿宋" w:hAnsi="仿宋" w:eastAsia="仿宋" w:cs="仿宋"/>
          <w:color w:val="auto"/>
          <w:kern w:val="0"/>
          <w:sz w:val="32"/>
          <w:szCs w:val="32"/>
          <w:highlight w:val="none"/>
          <w:shd w:val="clear" w:color="auto" w:fill="FFFFFF"/>
        </w:rPr>
      </w:pPr>
    </w:p>
    <w:p w14:paraId="5BE7C336">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shd w:val="clear" w:color="auto" w:fill="FFFFFF"/>
          <w:lang w:val="en-US" w:eastAsia="zh-CN"/>
        </w:rPr>
        <w:t>受</w:t>
      </w:r>
      <w:r>
        <w:rPr>
          <w:rFonts w:hint="eastAsia" w:ascii="仿宋" w:hAnsi="仿宋" w:eastAsia="仿宋" w:cs="仿宋"/>
          <w:color w:val="auto"/>
          <w:kern w:val="0"/>
          <w:sz w:val="32"/>
          <w:szCs w:val="32"/>
          <w:highlight w:val="none"/>
          <w:shd w:val="clear" w:color="auto" w:fill="FFFFFF"/>
        </w:rPr>
        <w:t>铜陵金诚投资集团有限公司</w:t>
      </w:r>
      <w:r>
        <w:rPr>
          <w:rFonts w:hint="eastAsia" w:ascii="仿宋" w:hAnsi="仿宋" w:eastAsia="仿宋" w:cs="仿宋"/>
          <w:color w:val="auto"/>
          <w:kern w:val="0"/>
          <w:sz w:val="32"/>
          <w:szCs w:val="32"/>
          <w:highlight w:val="none"/>
          <w:shd w:val="clear" w:color="auto" w:fill="FFFFFF"/>
          <w:lang w:val="en-US" w:eastAsia="zh-CN"/>
        </w:rPr>
        <w:t>委托，铜陵大通三江建设发展有限公司</w:t>
      </w:r>
      <w:r>
        <w:rPr>
          <w:rFonts w:ascii="仿宋" w:hAnsi="仿宋" w:eastAsia="仿宋" w:cs="仿宋"/>
          <w:color w:val="auto"/>
          <w:kern w:val="0"/>
          <w:sz w:val="32"/>
          <w:szCs w:val="32"/>
          <w:highlight w:val="none"/>
          <w:shd w:val="clear" w:color="auto" w:fill="FFFFFF"/>
        </w:rPr>
        <w:t>就</w:t>
      </w:r>
      <w:r>
        <w:rPr>
          <w:rFonts w:hint="eastAsia" w:ascii="仿宋" w:hAnsi="仿宋" w:eastAsia="仿宋" w:cs="仿宋"/>
          <w:color w:val="auto"/>
          <w:kern w:val="0"/>
          <w:sz w:val="32"/>
          <w:szCs w:val="32"/>
          <w:highlight w:val="none"/>
          <w:shd w:val="clear" w:color="auto" w:fill="FFFFFF"/>
        </w:rPr>
        <w:t>金诚投资集团及权属公司负责组织实施的建设工程质量第三方检测服务库,进行公开征集，有关事项具体如下：</w:t>
      </w:r>
    </w:p>
    <w:p w14:paraId="2494D471">
      <w:pPr>
        <w:widowControl/>
        <w:spacing w:line="420" w:lineRule="atLeast"/>
        <w:ind w:firstLine="645"/>
        <w:rPr>
          <w:color w:val="auto"/>
          <w:highlight w:val="none"/>
        </w:rPr>
      </w:pPr>
      <w:r>
        <w:rPr>
          <w:rFonts w:hint="eastAsia" w:ascii="仿宋" w:hAnsi="仿宋" w:eastAsia="仿宋" w:cs="仿宋"/>
          <w:b/>
          <w:bCs/>
          <w:color w:val="auto"/>
          <w:kern w:val="0"/>
          <w:sz w:val="32"/>
          <w:szCs w:val="32"/>
          <w:highlight w:val="none"/>
          <w:shd w:val="clear" w:color="auto" w:fill="FFFFFF"/>
        </w:rPr>
        <w:t>一、项目名称</w:t>
      </w:r>
      <w:r>
        <w:rPr>
          <w:rFonts w:hint="eastAsia" w:ascii="仿宋" w:hAnsi="仿宋" w:eastAsia="仿宋" w:cs="仿宋"/>
          <w:color w:val="auto"/>
          <w:kern w:val="0"/>
          <w:sz w:val="32"/>
          <w:szCs w:val="32"/>
          <w:highlight w:val="none"/>
          <w:shd w:val="clear" w:color="auto" w:fill="FFFFFF"/>
        </w:rPr>
        <w:t>：</w:t>
      </w:r>
      <w:r>
        <w:rPr>
          <w:rFonts w:hint="eastAsia" w:ascii="仿宋" w:hAnsi="仿宋" w:eastAsia="仿宋" w:cs="仿宋"/>
          <w:color w:val="auto"/>
          <w:kern w:val="0"/>
          <w:sz w:val="32"/>
          <w:szCs w:val="32"/>
          <w:highlight w:val="none"/>
          <w:u w:val="single"/>
          <w:shd w:val="clear" w:color="auto" w:fill="FFFFFF"/>
        </w:rPr>
        <w:t>金诚投资集团建设工程质量第三方检测服务库</w:t>
      </w:r>
    </w:p>
    <w:p w14:paraId="6891FAF7">
      <w:pPr>
        <w:widowControl/>
        <w:spacing w:line="420" w:lineRule="atLeast"/>
        <w:ind w:firstLine="645"/>
        <w:rPr>
          <w:color w:val="auto"/>
          <w:highlight w:val="none"/>
        </w:rPr>
      </w:pPr>
      <w:r>
        <w:rPr>
          <w:rFonts w:hint="eastAsia" w:ascii="仿宋" w:hAnsi="仿宋" w:eastAsia="仿宋" w:cs="仿宋"/>
          <w:b/>
          <w:bCs/>
          <w:color w:val="auto"/>
          <w:kern w:val="0"/>
          <w:sz w:val="32"/>
          <w:szCs w:val="32"/>
          <w:highlight w:val="none"/>
          <w:shd w:val="clear" w:color="auto" w:fill="FFFFFF"/>
        </w:rPr>
        <w:t>二、建库单位</w:t>
      </w:r>
      <w:r>
        <w:rPr>
          <w:rFonts w:hint="eastAsia" w:ascii="仿宋" w:hAnsi="仿宋" w:eastAsia="仿宋" w:cs="仿宋"/>
          <w:color w:val="auto"/>
          <w:kern w:val="0"/>
          <w:sz w:val="32"/>
          <w:szCs w:val="32"/>
          <w:highlight w:val="none"/>
          <w:shd w:val="clear" w:color="auto" w:fill="FFFFFF"/>
        </w:rPr>
        <w:t>：</w:t>
      </w:r>
      <w:r>
        <w:rPr>
          <w:rFonts w:hint="eastAsia" w:ascii="仿宋" w:hAnsi="仿宋" w:eastAsia="仿宋" w:cs="仿宋"/>
          <w:color w:val="auto"/>
          <w:kern w:val="0"/>
          <w:sz w:val="32"/>
          <w:szCs w:val="32"/>
          <w:highlight w:val="none"/>
          <w:u w:val="single"/>
          <w:shd w:val="clear" w:color="auto" w:fill="FFFFFF"/>
        </w:rPr>
        <w:t>铜陵金诚投资集团有限公司</w:t>
      </w:r>
    </w:p>
    <w:p w14:paraId="21D17718">
      <w:pPr>
        <w:widowControl/>
        <w:spacing w:line="420" w:lineRule="atLeast"/>
        <w:ind w:firstLine="645"/>
        <w:rPr>
          <w:rFonts w:ascii="仿宋" w:hAnsi="仿宋" w:eastAsia="仿宋" w:cs="仿宋"/>
          <w:b/>
          <w:bCs/>
          <w:color w:val="auto"/>
          <w:kern w:val="0"/>
          <w:sz w:val="32"/>
          <w:szCs w:val="32"/>
          <w:highlight w:val="none"/>
          <w:shd w:val="clear" w:color="auto" w:fill="FFFFFF"/>
        </w:rPr>
      </w:pPr>
      <w:r>
        <w:rPr>
          <w:rFonts w:hint="eastAsia" w:ascii="仿宋" w:hAnsi="仿宋" w:eastAsia="仿宋" w:cs="仿宋"/>
          <w:b/>
          <w:bCs/>
          <w:color w:val="auto"/>
          <w:kern w:val="0"/>
          <w:sz w:val="32"/>
          <w:szCs w:val="32"/>
          <w:highlight w:val="none"/>
          <w:shd w:val="clear" w:color="auto" w:fill="FFFFFF"/>
        </w:rPr>
        <w:t>三、征集时间：</w:t>
      </w:r>
      <w:r>
        <w:rPr>
          <w:rFonts w:hint="eastAsia" w:ascii="仿宋" w:hAnsi="仿宋" w:eastAsia="仿宋" w:cs="仿宋"/>
          <w:color w:val="auto"/>
          <w:kern w:val="0"/>
          <w:sz w:val="32"/>
          <w:szCs w:val="32"/>
          <w:highlight w:val="none"/>
          <w:u w:val="single"/>
          <w:shd w:val="clear" w:color="auto" w:fill="FFFFFF"/>
        </w:rPr>
        <w:t>2026年1月</w:t>
      </w:r>
      <w:r>
        <w:rPr>
          <w:rFonts w:hint="eastAsia" w:ascii="仿宋" w:hAnsi="仿宋" w:eastAsia="仿宋" w:cs="仿宋"/>
          <w:color w:val="auto"/>
          <w:kern w:val="0"/>
          <w:sz w:val="32"/>
          <w:szCs w:val="32"/>
          <w:highlight w:val="none"/>
          <w:u w:val="single"/>
          <w:shd w:val="clear" w:color="auto" w:fill="FFFFFF"/>
          <w:lang w:val="en-US" w:eastAsia="zh-CN"/>
        </w:rPr>
        <w:t>23</w:t>
      </w:r>
      <w:r>
        <w:rPr>
          <w:rFonts w:hint="eastAsia" w:ascii="仿宋" w:hAnsi="仿宋" w:eastAsia="仿宋" w:cs="仿宋"/>
          <w:color w:val="auto"/>
          <w:kern w:val="0"/>
          <w:sz w:val="32"/>
          <w:szCs w:val="32"/>
          <w:highlight w:val="none"/>
          <w:u w:val="single"/>
          <w:shd w:val="clear" w:color="auto" w:fill="FFFFFF"/>
        </w:rPr>
        <w:t>日—2026年1月30日。</w:t>
      </w:r>
    </w:p>
    <w:p w14:paraId="0466F3CE">
      <w:pPr>
        <w:widowControl/>
        <w:spacing w:line="420" w:lineRule="atLeast"/>
        <w:ind w:firstLine="645"/>
        <w:rPr>
          <w:color w:val="auto"/>
          <w:highlight w:val="none"/>
        </w:rPr>
      </w:pPr>
      <w:r>
        <w:rPr>
          <w:rFonts w:hint="eastAsia" w:ascii="仿宋" w:hAnsi="仿宋" w:eastAsia="仿宋" w:cs="仿宋"/>
          <w:b/>
          <w:bCs/>
          <w:color w:val="auto"/>
          <w:kern w:val="0"/>
          <w:sz w:val="32"/>
          <w:szCs w:val="32"/>
          <w:highlight w:val="none"/>
          <w:shd w:val="clear" w:color="auto" w:fill="FFFFFF"/>
        </w:rPr>
        <w:t>四、报名及递交入库审查申请文件开始、截止时间：</w:t>
      </w:r>
      <w:r>
        <w:rPr>
          <w:rFonts w:hint="eastAsia" w:ascii="仿宋" w:hAnsi="仿宋" w:eastAsia="仿宋" w:cs="仿宋"/>
          <w:color w:val="auto"/>
          <w:kern w:val="0"/>
          <w:sz w:val="32"/>
          <w:szCs w:val="32"/>
          <w:highlight w:val="none"/>
          <w:u w:val="single"/>
          <w:shd w:val="clear" w:color="auto" w:fill="FFFFFF"/>
        </w:rPr>
        <w:t>2026年1月30日8:00-17:00。</w:t>
      </w:r>
    </w:p>
    <w:p w14:paraId="00F5B5C6">
      <w:pPr>
        <w:widowControl/>
        <w:spacing w:line="420" w:lineRule="atLeast"/>
        <w:ind w:firstLine="645"/>
        <w:rPr>
          <w:color w:val="auto"/>
          <w:highlight w:val="none"/>
        </w:rPr>
      </w:pPr>
      <w:r>
        <w:rPr>
          <w:rFonts w:hint="eastAsia" w:ascii="仿宋" w:hAnsi="仿宋" w:eastAsia="仿宋" w:cs="仿宋"/>
          <w:b/>
          <w:bCs/>
          <w:color w:val="auto"/>
          <w:kern w:val="0"/>
          <w:sz w:val="32"/>
          <w:szCs w:val="32"/>
          <w:highlight w:val="none"/>
          <w:shd w:val="clear" w:color="auto" w:fill="FFFFFF"/>
        </w:rPr>
        <w:t>五、库容</w:t>
      </w:r>
      <w:r>
        <w:rPr>
          <w:rFonts w:hint="eastAsia" w:ascii="仿宋" w:hAnsi="仿宋" w:eastAsia="仿宋" w:cs="仿宋"/>
          <w:color w:val="auto"/>
          <w:kern w:val="0"/>
          <w:sz w:val="32"/>
          <w:szCs w:val="32"/>
          <w:highlight w:val="none"/>
          <w:shd w:val="clear" w:color="auto" w:fill="FFFFFF"/>
        </w:rPr>
        <w:t>：</w:t>
      </w:r>
      <w:r>
        <w:rPr>
          <w:rFonts w:hint="eastAsia" w:ascii="仿宋" w:hAnsi="仿宋" w:eastAsia="仿宋" w:cs="仿宋"/>
          <w:color w:val="auto"/>
          <w:kern w:val="0"/>
          <w:sz w:val="32"/>
          <w:szCs w:val="32"/>
          <w:highlight w:val="none"/>
          <w:u w:val="single"/>
          <w:shd w:val="clear" w:color="auto" w:fill="FFFFFF"/>
        </w:rPr>
        <w:t>本次征集库容为</w:t>
      </w:r>
      <w:r>
        <w:rPr>
          <w:rFonts w:hint="eastAsia" w:ascii="仿宋" w:hAnsi="仿宋" w:eastAsia="仿宋" w:cs="仿宋"/>
          <w:color w:val="auto"/>
          <w:kern w:val="0"/>
          <w:sz w:val="32"/>
          <w:szCs w:val="32"/>
          <w:highlight w:val="none"/>
          <w:u w:val="single"/>
          <w:shd w:val="clear" w:color="auto" w:fill="FFFFFF"/>
          <w:lang w:val="en-US" w:eastAsia="zh-CN"/>
        </w:rPr>
        <w:t>4</w:t>
      </w:r>
      <w:r>
        <w:rPr>
          <w:rFonts w:hint="eastAsia" w:ascii="仿宋" w:hAnsi="仿宋" w:eastAsia="仿宋" w:cs="仿宋"/>
          <w:color w:val="auto"/>
          <w:kern w:val="0"/>
          <w:sz w:val="32"/>
          <w:szCs w:val="32"/>
          <w:highlight w:val="none"/>
          <w:u w:val="single"/>
          <w:shd w:val="clear" w:color="auto" w:fill="FFFFFF"/>
        </w:rPr>
        <w:t>家。</w:t>
      </w:r>
    </w:p>
    <w:p w14:paraId="6C73C588">
      <w:pPr>
        <w:widowControl/>
        <w:spacing w:line="420" w:lineRule="atLeast"/>
        <w:ind w:firstLine="645"/>
        <w:rPr>
          <w:color w:val="auto"/>
          <w:highlight w:val="none"/>
        </w:rPr>
      </w:pPr>
      <w:r>
        <w:rPr>
          <w:rFonts w:hint="eastAsia" w:ascii="仿宋" w:hAnsi="仿宋" w:eastAsia="仿宋" w:cs="仿宋"/>
          <w:b/>
          <w:bCs/>
          <w:color w:val="auto"/>
          <w:kern w:val="0"/>
          <w:sz w:val="32"/>
          <w:szCs w:val="32"/>
          <w:highlight w:val="none"/>
          <w:shd w:val="clear" w:color="auto" w:fill="FFFFFF"/>
        </w:rPr>
        <w:t>六、入库条件</w:t>
      </w:r>
      <w:r>
        <w:rPr>
          <w:rFonts w:hint="eastAsia" w:ascii="仿宋" w:hAnsi="仿宋" w:eastAsia="仿宋" w:cs="仿宋"/>
          <w:color w:val="auto"/>
          <w:kern w:val="0"/>
          <w:sz w:val="32"/>
          <w:szCs w:val="32"/>
          <w:highlight w:val="none"/>
          <w:shd w:val="clear" w:color="auto" w:fill="FFFFFF"/>
        </w:rPr>
        <w:t>：</w:t>
      </w:r>
    </w:p>
    <w:p w14:paraId="227B109B">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u w:val="single"/>
          <w:shd w:val="clear" w:color="auto" w:fill="FFFFFF"/>
        </w:rPr>
        <w:t>1、持有工商行政管理部门核发的有效企业法人营业执照；</w:t>
      </w:r>
    </w:p>
    <w:p w14:paraId="27DF8799">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u w:val="single"/>
          <w:shd w:val="clear" w:color="auto" w:fill="FFFFFF"/>
        </w:rPr>
        <w:t>2、具有建设主管部门颁发的建设工程质量检测机构综合资质证书或专项资质证书（检测专项包括建筑材料及构配件、主体结构及装饰装修、地基基础、市政工程材料）并具有省级及以上质量技术监督部门通过的计量认证证书（CMA）；</w:t>
      </w:r>
    </w:p>
    <w:p w14:paraId="0131A823">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u w:val="single"/>
          <w:shd w:val="clear" w:color="auto" w:fill="FFFFFF"/>
        </w:rPr>
        <w:t>3、具有履行合同所必需的专业技术人员和相应的检测服务能力；</w:t>
      </w:r>
    </w:p>
    <w:p w14:paraId="487B08FA">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u w:val="single"/>
          <w:shd w:val="clear" w:color="auto" w:fill="FFFFFF"/>
        </w:rPr>
        <w:t>4、2021年以来，未被市级及以上行政主管部门行政处罚；</w:t>
      </w:r>
    </w:p>
    <w:p w14:paraId="55E1BE94">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u w:val="single"/>
          <w:shd w:val="clear" w:color="auto" w:fill="FFFFFF"/>
        </w:rPr>
        <w:t>5、拟派项目负责人在市级及以上行政主管部门无不良行为记录；</w:t>
      </w:r>
    </w:p>
    <w:p w14:paraId="4EE6E4C6">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u w:val="single"/>
          <w:shd w:val="clear" w:color="auto" w:fill="FFFFFF"/>
        </w:rPr>
        <w:t>6、法律、法规规定的其他条件。</w:t>
      </w:r>
    </w:p>
    <w:p w14:paraId="09807164">
      <w:pPr>
        <w:widowControl/>
        <w:spacing w:line="420" w:lineRule="atLeast"/>
        <w:ind w:firstLine="645"/>
        <w:rPr>
          <w:color w:val="auto"/>
          <w:highlight w:val="none"/>
        </w:rPr>
      </w:pPr>
      <w:r>
        <w:rPr>
          <w:rFonts w:hint="eastAsia" w:ascii="仿宋" w:hAnsi="仿宋" w:eastAsia="仿宋" w:cs="仿宋"/>
          <w:b/>
          <w:bCs/>
          <w:color w:val="auto"/>
          <w:kern w:val="0"/>
          <w:sz w:val="32"/>
          <w:szCs w:val="32"/>
          <w:highlight w:val="none"/>
          <w:shd w:val="clear" w:color="auto" w:fill="FFFFFF"/>
        </w:rPr>
        <w:t>七、入库申请资料</w:t>
      </w:r>
    </w:p>
    <w:p w14:paraId="6068748C">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u w:val="single"/>
          <w:shd w:val="clear" w:color="auto" w:fill="FFFFFF"/>
        </w:rPr>
        <w:t>1、入库申请登记表（附件1）；</w:t>
      </w:r>
    </w:p>
    <w:p w14:paraId="1B53E360">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u w:val="single"/>
          <w:shd w:val="clear" w:color="auto" w:fill="FFFFFF"/>
        </w:rPr>
        <w:t>2、企业营业执照、资质证书；</w:t>
      </w:r>
    </w:p>
    <w:p w14:paraId="61ABCA27">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u w:val="single"/>
          <w:shd w:val="clear" w:color="auto" w:fill="FFFFFF"/>
        </w:rPr>
        <w:t>3、授权委托书；</w:t>
      </w:r>
    </w:p>
    <w:p w14:paraId="3C5B9733">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u w:val="single"/>
          <w:shd w:val="clear" w:color="auto" w:fill="FFFFFF"/>
        </w:rPr>
        <w:t>4、入库承诺书（附件2）；</w:t>
      </w:r>
    </w:p>
    <w:p w14:paraId="043F6372">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u w:val="single"/>
          <w:shd w:val="clear" w:color="auto" w:fill="FFFFFF"/>
        </w:rPr>
        <w:t>5、其他证明材料。</w:t>
      </w:r>
    </w:p>
    <w:p w14:paraId="58554C74">
      <w:pPr>
        <w:widowControl/>
        <w:spacing w:line="420" w:lineRule="atLeast"/>
        <w:ind w:firstLine="645"/>
        <w:rPr>
          <w:rFonts w:hint="eastAsia" w:eastAsia="仿宋"/>
          <w:color w:val="auto"/>
          <w:highlight w:val="none"/>
          <w:lang w:eastAsia="zh-CN"/>
        </w:rPr>
      </w:pPr>
      <w:r>
        <w:rPr>
          <w:rFonts w:hint="eastAsia" w:ascii="仿宋" w:hAnsi="仿宋" w:eastAsia="仿宋" w:cs="仿宋"/>
          <w:color w:val="auto"/>
          <w:kern w:val="0"/>
          <w:sz w:val="32"/>
          <w:szCs w:val="32"/>
          <w:highlight w:val="none"/>
          <w:u w:val="single"/>
          <w:shd w:val="clear" w:color="auto" w:fill="FFFFFF"/>
        </w:rPr>
        <w:t>符合入库条件且有意向的企业，请于征集时间内向铜陵大通三江建设发展有限公司（铜陵市郊区大通美食广场A座二楼）提交入库申请资料，逾期不予受理。联系人：侯先生，电话：17755136969</w:t>
      </w:r>
      <w:r>
        <w:rPr>
          <w:rFonts w:hint="eastAsia" w:ascii="仿宋" w:hAnsi="仿宋" w:eastAsia="仿宋" w:cs="仿宋"/>
          <w:color w:val="auto"/>
          <w:kern w:val="0"/>
          <w:sz w:val="32"/>
          <w:szCs w:val="32"/>
          <w:highlight w:val="none"/>
          <w:u w:val="single"/>
          <w:shd w:val="clear" w:color="auto" w:fill="FFFFFF"/>
          <w:lang w:eastAsia="zh-CN"/>
        </w:rPr>
        <w:t>。</w:t>
      </w:r>
    </w:p>
    <w:p w14:paraId="5F2523E9">
      <w:pPr>
        <w:widowControl/>
        <w:spacing w:line="420" w:lineRule="atLeast"/>
        <w:ind w:firstLine="645"/>
        <w:rPr>
          <w:rFonts w:ascii="仿宋" w:hAnsi="仿宋" w:eastAsia="仿宋" w:cs="仿宋"/>
          <w:color w:val="auto"/>
          <w:kern w:val="0"/>
          <w:sz w:val="32"/>
          <w:szCs w:val="32"/>
          <w:highlight w:val="none"/>
          <w:u w:val="single"/>
          <w:shd w:val="clear" w:color="auto" w:fill="FFFFFF"/>
        </w:rPr>
      </w:pPr>
      <w:r>
        <w:rPr>
          <w:rFonts w:hint="eastAsia" w:ascii="仿宋" w:hAnsi="仿宋" w:eastAsia="仿宋" w:cs="仿宋"/>
          <w:b/>
          <w:bCs/>
          <w:color w:val="auto"/>
          <w:kern w:val="0"/>
          <w:sz w:val="32"/>
          <w:szCs w:val="32"/>
          <w:highlight w:val="none"/>
          <w:shd w:val="clear" w:color="auto" w:fill="FFFFFF"/>
        </w:rPr>
        <w:t>八、入库原则</w:t>
      </w:r>
      <w:r>
        <w:rPr>
          <w:rFonts w:hint="eastAsia" w:ascii="仿宋" w:hAnsi="仿宋" w:eastAsia="仿宋" w:cs="仿宋"/>
          <w:color w:val="auto"/>
          <w:kern w:val="0"/>
          <w:sz w:val="32"/>
          <w:szCs w:val="32"/>
          <w:highlight w:val="none"/>
          <w:shd w:val="clear" w:color="auto" w:fill="FFFFFF"/>
        </w:rPr>
        <w:t>：</w:t>
      </w:r>
      <w:r>
        <w:rPr>
          <w:rFonts w:hint="eastAsia" w:ascii="仿宋" w:hAnsi="仿宋" w:eastAsia="仿宋" w:cs="仿宋"/>
          <w:color w:val="auto"/>
          <w:kern w:val="0"/>
          <w:sz w:val="32"/>
          <w:szCs w:val="32"/>
          <w:highlight w:val="none"/>
          <w:u w:val="single"/>
          <w:shd w:val="clear" w:color="auto" w:fill="FFFFFF"/>
        </w:rPr>
        <w:t>资格审查及评选工作由建库单位组织专家评委进行。如本次公开征集通过资格审查的申请人数量小于等于</w:t>
      </w:r>
      <w:r>
        <w:rPr>
          <w:rFonts w:hint="eastAsia" w:ascii="仿宋" w:hAnsi="仿宋" w:eastAsia="仿宋" w:cs="仿宋"/>
          <w:color w:val="auto"/>
          <w:kern w:val="0"/>
          <w:sz w:val="32"/>
          <w:szCs w:val="32"/>
          <w:highlight w:val="none"/>
          <w:u w:val="single"/>
          <w:shd w:val="clear" w:color="auto" w:fill="FFFFFF"/>
          <w:lang w:val="en-US" w:eastAsia="zh-CN"/>
        </w:rPr>
        <w:t>4</w:t>
      </w:r>
      <w:r>
        <w:rPr>
          <w:rFonts w:hint="eastAsia" w:ascii="仿宋" w:hAnsi="仿宋" w:eastAsia="仿宋" w:cs="仿宋"/>
          <w:color w:val="auto"/>
          <w:kern w:val="0"/>
          <w:sz w:val="32"/>
          <w:szCs w:val="32"/>
          <w:highlight w:val="none"/>
          <w:u w:val="single"/>
          <w:shd w:val="clear" w:color="auto" w:fill="FFFFFF"/>
        </w:rPr>
        <w:t>家，则所有通过资格审查的申请人均纳入入库范围。如通过资格审查的申请人数量大于</w:t>
      </w:r>
      <w:r>
        <w:rPr>
          <w:rFonts w:hint="eastAsia" w:ascii="仿宋" w:hAnsi="仿宋" w:eastAsia="仿宋" w:cs="仿宋"/>
          <w:color w:val="auto"/>
          <w:kern w:val="0"/>
          <w:sz w:val="32"/>
          <w:szCs w:val="32"/>
          <w:highlight w:val="none"/>
          <w:u w:val="single"/>
          <w:shd w:val="clear" w:color="auto" w:fill="FFFFFF"/>
          <w:lang w:val="en-US" w:eastAsia="zh-CN"/>
        </w:rPr>
        <w:t>4</w:t>
      </w:r>
      <w:r>
        <w:rPr>
          <w:rFonts w:hint="eastAsia" w:ascii="仿宋" w:hAnsi="仿宋" w:eastAsia="仿宋" w:cs="仿宋"/>
          <w:color w:val="auto"/>
          <w:kern w:val="0"/>
          <w:sz w:val="32"/>
          <w:szCs w:val="32"/>
          <w:highlight w:val="none"/>
          <w:u w:val="single"/>
          <w:shd w:val="clear" w:color="auto" w:fill="FFFFFF"/>
        </w:rPr>
        <w:t>家，则按评选办法（附件3）评分从高到低排序确定前</w:t>
      </w:r>
      <w:r>
        <w:rPr>
          <w:rFonts w:hint="eastAsia" w:ascii="仿宋" w:hAnsi="仿宋" w:eastAsia="仿宋" w:cs="仿宋"/>
          <w:color w:val="auto"/>
          <w:kern w:val="0"/>
          <w:sz w:val="32"/>
          <w:szCs w:val="32"/>
          <w:highlight w:val="none"/>
          <w:u w:val="single"/>
          <w:shd w:val="clear" w:color="auto" w:fill="FFFFFF"/>
          <w:lang w:val="en-US" w:eastAsia="zh-CN"/>
        </w:rPr>
        <w:t>4</w:t>
      </w:r>
      <w:r>
        <w:rPr>
          <w:rFonts w:hint="eastAsia" w:ascii="仿宋" w:hAnsi="仿宋" w:eastAsia="仿宋" w:cs="仿宋"/>
          <w:color w:val="auto"/>
          <w:kern w:val="0"/>
          <w:sz w:val="32"/>
          <w:szCs w:val="32"/>
          <w:highlight w:val="none"/>
          <w:u w:val="single"/>
          <w:shd w:val="clear" w:color="auto" w:fill="FFFFFF"/>
        </w:rPr>
        <w:t>家入库单位名单，经公示无异议后即入选金诚投资集团建设工程质量第三方检测服务库。</w:t>
      </w:r>
    </w:p>
    <w:p w14:paraId="1A74C9C8">
      <w:pPr>
        <w:widowControl/>
        <w:spacing w:line="420" w:lineRule="atLeast"/>
        <w:ind w:firstLine="645"/>
        <w:rPr>
          <w:color w:val="auto"/>
          <w:highlight w:val="none"/>
        </w:rPr>
      </w:pPr>
      <w:r>
        <w:rPr>
          <w:rFonts w:hint="eastAsia" w:ascii="仿宋" w:hAnsi="仿宋" w:eastAsia="仿宋" w:cs="仿宋"/>
          <w:b/>
          <w:bCs/>
          <w:color w:val="auto"/>
          <w:kern w:val="0"/>
          <w:sz w:val="32"/>
          <w:szCs w:val="32"/>
          <w:highlight w:val="none"/>
          <w:shd w:val="clear" w:color="auto" w:fill="FFFFFF"/>
        </w:rPr>
        <w:t>九、服务内容及服务期限</w:t>
      </w:r>
      <w:r>
        <w:rPr>
          <w:rFonts w:hint="eastAsia" w:ascii="仿宋" w:hAnsi="仿宋" w:eastAsia="仿宋" w:cs="仿宋"/>
          <w:color w:val="auto"/>
          <w:kern w:val="0"/>
          <w:sz w:val="32"/>
          <w:szCs w:val="32"/>
          <w:highlight w:val="none"/>
          <w:shd w:val="clear" w:color="auto" w:fill="FFFFFF"/>
        </w:rPr>
        <w:t>：</w:t>
      </w:r>
      <w:r>
        <w:rPr>
          <w:rFonts w:hint="eastAsia" w:ascii="仿宋" w:hAnsi="仿宋" w:eastAsia="仿宋" w:cs="仿宋"/>
          <w:color w:val="auto"/>
          <w:kern w:val="0"/>
          <w:sz w:val="32"/>
          <w:szCs w:val="32"/>
          <w:highlight w:val="none"/>
          <w:u w:val="single"/>
          <w:shd w:val="clear" w:color="auto" w:fill="FFFFFF"/>
        </w:rPr>
        <w:t>本次公开征集拟确定</w:t>
      </w:r>
      <w:r>
        <w:rPr>
          <w:rFonts w:hint="eastAsia" w:ascii="仿宋" w:hAnsi="仿宋" w:eastAsia="仿宋" w:cs="仿宋"/>
          <w:color w:val="auto"/>
          <w:kern w:val="0"/>
          <w:sz w:val="32"/>
          <w:szCs w:val="32"/>
          <w:highlight w:val="none"/>
          <w:u w:val="single"/>
          <w:shd w:val="clear" w:color="auto" w:fill="FFFFFF"/>
          <w:lang w:val="en-US" w:eastAsia="zh-CN"/>
        </w:rPr>
        <w:t>4</w:t>
      </w:r>
      <w:r>
        <w:rPr>
          <w:rFonts w:hint="eastAsia" w:ascii="仿宋" w:hAnsi="仿宋" w:eastAsia="仿宋" w:cs="仿宋"/>
          <w:color w:val="auto"/>
          <w:kern w:val="0"/>
          <w:sz w:val="32"/>
          <w:szCs w:val="32"/>
          <w:highlight w:val="none"/>
          <w:u w:val="single"/>
          <w:shd w:val="clear" w:color="auto" w:fill="FFFFFF"/>
        </w:rPr>
        <w:t>家第三方检测服务单位进入金诚投资集团建设工程质量第三方检测服务库。在服务期内接受金诚投资集团及权属公司的委托，依照《建设工程质量检测管理办法》及国家、地方相关的法律、法规、政策的规定，承接金诚投资集团及权属公司负责组织实施的建设工程质量第三方检测服务，具体检测服务内容以单项委托合同为准。服务期：</w:t>
      </w:r>
      <w:r>
        <w:rPr>
          <w:rFonts w:hint="eastAsia" w:ascii="仿宋" w:hAnsi="仿宋" w:eastAsia="仿宋" w:cs="仿宋"/>
          <w:b/>
          <w:bCs/>
          <w:color w:val="auto"/>
          <w:kern w:val="0"/>
          <w:sz w:val="32"/>
          <w:szCs w:val="32"/>
          <w:highlight w:val="none"/>
          <w:u w:val="single"/>
          <w:shd w:val="clear" w:color="auto" w:fill="FFFFFF"/>
          <w:lang w:val="en-US" w:eastAsia="zh-CN"/>
        </w:rPr>
        <w:t>壹</w:t>
      </w:r>
      <w:r>
        <w:rPr>
          <w:rFonts w:hint="eastAsia" w:ascii="仿宋" w:hAnsi="仿宋" w:eastAsia="仿宋" w:cs="仿宋"/>
          <w:b/>
          <w:bCs/>
          <w:color w:val="auto"/>
          <w:kern w:val="0"/>
          <w:sz w:val="32"/>
          <w:szCs w:val="32"/>
          <w:highlight w:val="none"/>
          <w:u w:val="single"/>
          <w:shd w:val="clear" w:color="auto" w:fill="FFFFFF"/>
        </w:rPr>
        <w:t>年</w:t>
      </w:r>
      <w:r>
        <w:rPr>
          <w:rFonts w:hint="eastAsia" w:ascii="仿宋" w:hAnsi="仿宋" w:eastAsia="仿宋" w:cs="仿宋"/>
          <w:color w:val="auto"/>
          <w:kern w:val="0"/>
          <w:sz w:val="32"/>
          <w:szCs w:val="32"/>
          <w:highlight w:val="none"/>
          <w:u w:val="single"/>
          <w:shd w:val="clear" w:color="auto" w:fill="FFFFFF"/>
        </w:rPr>
        <w:t>。</w:t>
      </w:r>
    </w:p>
    <w:p w14:paraId="42D0A62C">
      <w:pPr>
        <w:widowControl/>
        <w:spacing w:line="420" w:lineRule="atLeast"/>
        <w:ind w:firstLine="645"/>
        <w:rPr>
          <w:color w:val="auto"/>
          <w:highlight w:val="none"/>
        </w:rPr>
      </w:pPr>
      <w:r>
        <w:rPr>
          <w:rFonts w:hint="eastAsia" w:ascii="仿宋" w:hAnsi="仿宋" w:eastAsia="仿宋" w:cs="仿宋"/>
          <w:b/>
          <w:bCs/>
          <w:color w:val="auto"/>
          <w:kern w:val="0"/>
          <w:sz w:val="32"/>
          <w:szCs w:val="32"/>
          <w:highlight w:val="none"/>
          <w:shd w:val="clear" w:color="auto" w:fill="FFFFFF"/>
        </w:rPr>
        <w:t>十、检测费计费原则：</w:t>
      </w:r>
    </w:p>
    <w:p w14:paraId="31C8A474">
      <w:pPr>
        <w:widowControl/>
        <w:spacing w:line="420" w:lineRule="atLeast"/>
        <w:ind w:firstLine="645"/>
        <w:rPr>
          <w:rFonts w:hint="eastAsia" w:ascii="仿宋" w:hAnsi="仿宋" w:eastAsia="仿宋" w:cs="仿宋"/>
          <w:color w:val="auto"/>
          <w:kern w:val="0"/>
          <w:sz w:val="32"/>
          <w:szCs w:val="32"/>
          <w:highlight w:val="none"/>
          <w:u w:val="single"/>
          <w:shd w:val="clear" w:color="auto" w:fill="FFFFFF"/>
          <w:lang w:val="en-US" w:eastAsia="zh-CN"/>
        </w:rPr>
      </w:pPr>
      <w:r>
        <w:rPr>
          <w:rFonts w:hint="eastAsia" w:ascii="仿宋" w:hAnsi="仿宋" w:eastAsia="仿宋" w:cs="仿宋"/>
          <w:color w:val="auto"/>
          <w:kern w:val="0"/>
          <w:sz w:val="32"/>
          <w:szCs w:val="32"/>
          <w:highlight w:val="none"/>
          <w:u w:val="single"/>
          <w:shd w:val="clear" w:color="auto" w:fill="FFFFFF"/>
          <w:lang w:val="en-US" w:eastAsia="zh-CN"/>
        </w:rPr>
        <w:t>1、检测项目的计费方式参照以下收费标准打五折计取，收费标准的选用顺序为：（1）《安徽省物价局、住房和城乡建设厅关于重新公布建设工程质量检测收费标准的通知》（皖价服【2013】137号）；（2）《省物价局关于重新核定交通建设工程试验检测收费标准的函》（皖价服【2013】29号）；（3）《安徽省建设工程质量检测收费行业指导价》建质安协【2019】16号；（4）《安徽省环境监测服务收费标准》(皖价费【2014】139号)；（5）水保收费(水保监【2005】22号文)；（6）安徽省建筑消防设施检测收费标准；（7）</w:t>
      </w:r>
      <w:r>
        <w:rPr>
          <w:rFonts w:hint="eastAsia" w:ascii="仿宋" w:hAnsi="仿宋" w:eastAsia="仿宋" w:cs="仿宋"/>
          <w:color w:val="auto"/>
          <w:kern w:val="0"/>
          <w:sz w:val="32"/>
          <w:szCs w:val="32"/>
          <w:highlight w:val="none"/>
          <w:u w:val="single"/>
          <w:shd w:val="clear" w:color="auto" w:fill="FFFFFF"/>
        </w:rPr>
        <w:t>以上</w:t>
      </w:r>
      <w:r>
        <w:rPr>
          <w:rFonts w:hint="eastAsia" w:ascii="仿宋" w:hAnsi="仿宋" w:eastAsia="仿宋" w:cs="仿宋"/>
          <w:color w:val="auto"/>
          <w:kern w:val="0"/>
          <w:sz w:val="32"/>
          <w:szCs w:val="32"/>
          <w:highlight w:val="none"/>
          <w:u w:val="single"/>
          <w:shd w:val="clear" w:color="auto" w:fill="FFFFFF"/>
          <w:lang w:val="en-US" w:eastAsia="zh-CN"/>
        </w:rPr>
        <w:t>检测收费标准中如果同样工作内容有两种或以上计费标准的，按住房和城乡建设厅（皖价服【2013】137号）的计取基准收费。</w:t>
      </w:r>
    </w:p>
    <w:p w14:paraId="282B8946">
      <w:pPr>
        <w:widowControl/>
        <w:spacing w:line="420" w:lineRule="atLeast"/>
        <w:ind w:firstLine="645"/>
        <w:rPr>
          <w:rFonts w:hint="eastAsia" w:ascii="仿宋" w:hAnsi="仿宋" w:eastAsia="仿宋" w:cs="仿宋"/>
          <w:color w:val="auto"/>
          <w:kern w:val="0"/>
          <w:sz w:val="32"/>
          <w:szCs w:val="32"/>
          <w:highlight w:val="none"/>
          <w:u w:val="single"/>
          <w:shd w:val="clear" w:color="auto" w:fill="FFFFFF"/>
        </w:rPr>
      </w:pPr>
      <w:r>
        <w:rPr>
          <w:rFonts w:hint="eastAsia" w:ascii="仿宋" w:hAnsi="仿宋" w:eastAsia="仿宋" w:cs="仿宋"/>
          <w:color w:val="auto"/>
          <w:kern w:val="0"/>
          <w:sz w:val="32"/>
          <w:szCs w:val="32"/>
          <w:highlight w:val="none"/>
          <w:u w:val="single"/>
          <w:shd w:val="clear" w:color="auto" w:fill="FFFFFF"/>
        </w:rPr>
        <w:t>以上收费标准中均未涉及的检测项目，由铜陵金诚投资集团有限公司组织询价确定。</w:t>
      </w:r>
    </w:p>
    <w:p w14:paraId="5752415F">
      <w:pPr>
        <w:widowControl/>
        <w:spacing w:line="420" w:lineRule="atLeast"/>
        <w:ind w:firstLine="645"/>
        <w:rPr>
          <w:rFonts w:hint="eastAsia" w:ascii="仿宋" w:hAnsi="仿宋" w:eastAsia="仿宋" w:cs="仿宋"/>
          <w:color w:val="auto"/>
          <w:kern w:val="0"/>
          <w:sz w:val="32"/>
          <w:szCs w:val="32"/>
          <w:highlight w:val="none"/>
          <w:u w:val="single"/>
          <w:shd w:val="clear" w:color="auto" w:fill="FFFFFF"/>
          <w:lang w:val="en-US" w:eastAsia="zh-CN"/>
        </w:rPr>
      </w:pPr>
      <w:r>
        <w:rPr>
          <w:rFonts w:hint="eastAsia" w:ascii="仿宋" w:hAnsi="仿宋" w:eastAsia="仿宋" w:cs="仿宋"/>
          <w:color w:val="auto"/>
          <w:kern w:val="0"/>
          <w:sz w:val="32"/>
          <w:szCs w:val="32"/>
          <w:highlight w:val="none"/>
          <w:u w:val="single"/>
          <w:shd w:val="clear" w:color="auto" w:fill="FFFFFF"/>
          <w:lang w:val="en-US" w:eastAsia="zh-CN"/>
        </w:rPr>
        <w:t>2、检测费包括所必须的成本费用和检测单位应承担的费用，包括办公、交通、保险、人员、食宿、差旅、税费、检测设备、测试工具、通讯、清单等与此有关的所有费用，还包括完成项目服务所需的材料、设施设备、劳务、利润、税金、政策性文件规定及合同包含的所有风险、责任、义务等一切应有费用。</w:t>
      </w:r>
    </w:p>
    <w:p w14:paraId="63E830F7">
      <w:pPr>
        <w:keepNext w:val="0"/>
        <w:keepLines w:val="0"/>
        <w:widowControl/>
        <w:suppressLineNumbers w:val="0"/>
        <w:spacing w:before="0" w:beforeAutospacing="0" w:after="0" w:afterAutospacing="0" w:line="420" w:lineRule="atLeast"/>
        <w:ind w:left="0" w:right="0" w:firstLine="645"/>
        <w:jc w:val="both"/>
        <w:rPr>
          <w:rFonts w:hint="eastAsia" w:ascii="仿宋" w:hAnsi="仿宋" w:eastAsia="仿宋" w:cs="仿宋"/>
          <w:color w:val="auto"/>
          <w:kern w:val="0"/>
          <w:sz w:val="32"/>
          <w:szCs w:val="32"/>
          <w:highlight w:val="none"/>
          <w:u w:val="single"/>
          <w:shd w:val="clear" w:fill="FFFFFF"/>
          <w:lang w:val="en-US" w:eastAsia="zh-CN" w:bidi="ar"/>
        </w:rPr>
      </w:pPr>
      <w:r>
        <w:rPr>
          <w:rFonts w:hint="eastAsia" w:ascii="仿宋" w:hAnsi="仿宋" w:eastAsia="仿宋" w:cs="仿宋"/>
          <w:color w:val="auto"/>
          <w:kern w:val="0"/>
          <w:sz w:val="32"/>
          <w:szCs w:val="32"/>
          <w:highlight w:val="none"/>
          <w:u w:val="single"/>
          <w:shd w:val="clear" w:fill="FFFFFF"/>
          <w:lang w:val="en-US" w:eastAsia="zh-CN" w:bidi="ar"/>
        </w:rPr>
        <w:t>3、单项工程最终检测费用=</w:t>
      </w:r>
      <w:r>
        <w:rPr>
          <w:rFonts w:hint="eastAsia" w:ascii="微软雅黑" w:hAnsi="微软雅黑" w:eastAsia="微软雅黑" w:cs="微软雅黑"/>
          <w:color w:val="auto"/>
          <w:kern w:val="0"/>
          <w:sz w:val="32"/>
          <w:szCs w:val="32"/>
          <w:highlight w:val="none"/>
          <w:u w:val="single"/>
          <w:shd w:val="clear" w:fill="FFFFFF"/>
          <w:lang w:val="en-US" w:eastAsia="zh-CN" w:bidi="ar"/>
        </w:rPr>
        <w:t>∑</w:t>
      </w:r>
      <w:r>
        <w:rPr>
          <w:rFonts w:hint="eastAsia" w:ascii="仿宋" w:hAnsi="仿宋" w:eastAsia="仿宋" w:cs="仿宋"/>
          <w:color w:val="auto"/>
          <w:kern w:val="0"/>
          <w:sz w:val="32"/>
          <w:szCs w:val="32"/>
          <w:highlight w:val="none"/>
          <w:u w:val="single"/>
          <w:shd w:val="clear" w:fill="FFFFFF"/>
          <w:lang w:val="en-US" w:eastAsia="zh-CN" w:bidi="ar"/>
        </w:rPr>
        <w:t>实际检测项目数量*检测项目单项报价。</w:t>
      </w:r>
    </w:p>
    <w:p w14:paraId="30D7F901">
      <w:pPr>
        <w:keepNext w:val="0"/>
        <w:keepLines w:val="0"/>
        <w:widowControl/>
        <w:suppressLineNumbers w:val="0"/>
        <w:spacing w:before="0" w:beforeAutospacing="0" w:after="0" w:afterAutospacing="0" w:line="420" w:lineRule="atLeast"/>
        <w:ind w:left="0" w:right="0" w:firstLine="645"/>
        <w:jc w:val="both"/>
        <w:rPr>
          <w:color w:val="auto"/>
          <w:highlight w:val="none"/>
        </w:rPr>
      </w:pPr>
      <w:r>
        <w:rPr>
          <w:rFonts w:hint="eastAsia" w:ascii="仿宋" w:hAnsi="仿宋" w:eastAsia="仿宋" w:cs="仿宋"/>
          <w:color w:val="auto"/>
          <w:kern w:val="2"/>
          <w:sz w:val="32"/>
          <w:szCs w:val="32"/>
          <w:highlight w:val="none"/>
          <w:u w:val="single"/>
          <w:shd w:val="clear" w:fill="FFFFFF"/>
          <w:lang w:val="en-US" w:eastAsia="zh-CN" w:bidi="ar"/>
        </w:rPr>
        <w:t>4、检测费用每半年支付一次，付款前检测单位须开具正规增值税专用发票，增值税率为6%，检测单位的报价均视同按增值税率为6%考虑。最终检测服务费结算价根据检测单位开具的发票税率，按下列公式调整：最终检测服务费结算价/1.06*(1+实际开票税率）。</w:t>
      </w:r>
    </w:p>
    <w:p w14:paraId="1BD0326C">
      <w:pPr>
        <w:widowControl/>
        <w:spacing w:line="420" w:lineRule="atLeast"/>
        <w:ind w:firstLine="645"/>
        <w:rPr>
          <w:rFonts w:hint="eastAsia" w:ascii="仿宋" w:hAnsi="仿宋" w:eastAsia="仿宋" w:cs="仿宋"/>
          <w:color w:val="auto"/>
          <w:kern w:val="0"/>
          <w:sz w:val="32"/>
          <w:szCs w:val="32"/>
          <w:highlight w:val="none"/>
          <w:u w:val="single"/>
          <w:shd w:val="clear" w:color="auto" w:fill="FFFFFF"/>
          <w:lang w:val="en-US" w:eastAsia="zh-CN"/>
        </w:rPr>
      </w:pPr>
      <w:r>
        <w:rPr>
          <w:rFonts w:hint="eastAsia" w:ascii="仿宋" w:hAnsi="仿宋" w:eastAsia="仿宋" w:cs="仿宋"/>
          <w:b/>
          <w:bCs/>
          <w:color w:val="auto"/>
          <w:kern w:val="0"/>
          <w:sz w:val="32"/>
          <w:szCs w:val="32"/>
          <w:highlight w:val="none"/>
          <w:shd w:val="clear" w:color="auto" w:fill="FFFFFF"/>
        </w:rPr>
        <w:t>十一、检测单位选取办法：</w:t>
      </w:r>
      <w:r>
        <w:rPr>
          <w:rFonts w:hint="eastAsia" w:ascii="仿宋" w:hAnsi="仿宋" w:eastAsia="仿宋" w:cs="仿宋"/>
          <w:color w:val="auto"/>
          <w:kern w:val="0"/>
          <w:sz w:val="32"/>
          <w:szCs w:val="32"/>
          <w:highlight w:val="none"/>
          <w:u w:val="single"/>
          <w:shd w:val="clear" w:color="auto" w:fill="FFFFFF"/>
        </w:rPr>
        <w:t>由铜陵大通三江建设发展有限公司组织，在金诚投资集团法务审计部的监督下，由建设单位委派代表从检测库中通过摇号方式随机抽取。</w:t>
      </w:r>
    </w:p>
    <w:p w14:paraId="56759747">
      <w:pPr>
        <w:widowControl/>
        <w:spacing w:line="420" w:lineRule="atLeast"/>
        <w:ind w:firstLine="645"/>
        <w:rPr>
          <w:color w:val="auto"/>
          <w:highlight w:val="none"/>
        </w:rPr>
      </w:pPr>
      <w:r>
        <w:rPr>
          <w:rFonts w:hint="eastAsia" w:ascii="仿宋" w:hAnsi="仿宋" w:eastAsia="仿宋" w:cs="仿宋"/>
          <w:b/>
          <w:bCs/>
          <w:color w:val="auto"/>
          <w:kern w:val="0"/>
          <w:sz w:val="32"/>
          <w:szCs w:val="32"/>
          <w:highlight w:val="none"/>
          <w:shd w:val="clear" w:color="auto" w:fill="FFFFFF"/>
        </w:rPr>
        <w:t>十二、服务要求：</w:t>
      </w:r>
    </w:p>
    <w:p w14:paraId="679956B1">
      <w:pPr>
        <w:widowControl/>
        <w:spacing w:line="420" w:lineRule="atLeast"/>
        <w:ind w:firstLine="645"/>
        <w:rPr>
          <w:color w:val="auto"/>
          <w:highlight w:val="none"/>
        </w:rPr>
      </w:pPr>
      <w:r>
        <w:rPr>
          <w:rFonts w:hint="eastAsia" w:ascii="仿宋" w:hAnsi="仿宋" w:eastAsia="仿宋" w:cs="仿宋"/>
          <w:b/>
          <w:bCs/>
          <w:color w:val="auto"/>
          <w:kern w:val="0"/>
          <w:sz w:val="32"/>
          <w:szCs w:val="32"/>
          <w:highlight w:val="none"/>
          <w:u w:val="single"/>
          <w:shd w:val="clear" w:color="auto" w:fill="FFFFFF"/>
        </w:rPr>
        <w:t>1、入库单位须在铜陵市住房和城乡建设局备案。</w:t>
      </w:r>
    </w:p>
    <w:p w14:paraId="55199A57">
      <w:pPr>
        <w:widowControl/>
        <w:spacing w:line="420" w:lineRule="atLeast"/>
        <w:ind w:firstLine="645"/>
        <w:rPr>
          <w:color w:val="auto"/>
          <w:highlight w:val="none"/>
        </w:rPr>
      </w:pPr>
      <w:r>
        <w:rPr>
          <w:rFonts w:hint="eastAsia" w:ascii="仿宋" w:hAnsi="仿宋" w:eastAsia="仿宋" w:cs="仿宋"/>
          <w:b/>
          <w:bCs/>
          <w:color w:val="auto"/>
          <w:kern w:val="0"/>
          <w:sz w:val="32"/>
          <w:szCs w:val="32"/>
          <w:highlight w:val="none"/>
          <w:u w:val="single"/>
          <w:shd w:val="clear" w:color="auto" w:fill="FFFFFF"/>
        </w:rPr>
        <w:t>2、入库单位在铜陵无实验室的，须在入库后30日内在铜陵市行政区域内设立简易工地实验室，配备必要的试验检测仪器、设备、工具等。未在规定时间内设置实验室的，取消入库资格。</w:t>
      </w:r>
    </w:p>
    <w:p w14:paraId="5FF81E1D">
      <w:pPr>
        <w:widowControl/>
        <w:spacing w:line="420" w:lineRule="atLeast"/>
        <w:ind w:firstLine="645"/>
        <w:rPr>
          <w:rFonts w:hint="eastAsia" w:ascii="仿宋" w:hAnsi="仿宋" w:eastAsia="仿宋" w:cs="仿宋"/>
          <w:color w:val="auto"/>
          <w:kern w:val="0"/>
          <w:sz w:val="32"/>
          <w:szCs w:val="32"/>
          <w:highlight w:val="none"/>
          <w:u w:val="single"/>
          <w:shd w:val="clear" w:color="auto" w:fill="FFFFFF"/>
        </w:rPr>
      </w:pPr>
      <w:r>
        <w:rPr>
          <w:rFonts w:hint="eastAsia" w:ascii="仿宋" w:hAnsi="仿宋" w:eastAsia="仿宋" w:cs="仿宋"/>
          <w:color w:val="auto"/>
          <w:kern w:val="0"/>
          <w:sz w:val="32"/>
          <w:szCs w:val="32"/>
          <w:highlight w:val="none"/>
          <w:u w:val="single"/>
          <w:shd w:val="clear" w:color="auto" w:fill="FFFFFF"/>
        </w:rPr>
        <w:t>3、本着自愿入库原则，入库单位在服务期内应诚信履约，守法经营，自觉接受行政主管部门、建库单位及建设单位的监督管理。第三方检测库实行考核制度，动态清出，具体见考核办法（附件4）。</w:t>
      </w:r>
    </w:p>
    <w:p w14:paraId="52C766E2">
      <w:pPr>
        <w:widowControl/>
        <w:spacing w:line="420" w:lineRule="atLeast"/>
        <w:ind w:firstLine="645"/>
        <w:rPr>
          <w:rFonts w:hint="eastAsia" w:ascii="仿宋" w:hAnsi="仿宋" w:eastAsia="仿宋" w:cs="仿宋"/>
          <w:color w:val="auto"/>
          <w:kern w:val="0"/>
          <w:sz w:val="32"/>
          <w:szCs w:val="32"/>
          <w:highlight w:val="none"/>
          <w:u w:val="single"/>
          <w:shd w:val="clear" w:color="auto" w:fill="FFFFFF"/>
          <w:lang w:val="en-US" w:eastAsia="zh-CN"/>
        </w:rPr>
      </w:pPr>
      <w:r>
        <w:rPr>
          <w:rFonts w:hint="eastAsia" w:ascii="仿宋" w:hAnsi="仿宋" w:eastAsia="仿宋" w:cs="仿宋"/>
          <w:color w:val="auto"/>
          <w:kern w:val="0"/>
          <w:sz w:val="32"/>
          <w:szCs w:val="32"/>
          <w:highlight w:val="none"/>
          <w:u w:val="single"/>
          <w:shd w:val="clear" w:color="auto" w:fill="FFFFFF"/>
          <w:lang w:val="en-US" w:eastAsia="zh-CN"/>
        </w:rPr>
        <w:t>4、本项目公开征集代理服务费包干价人民币6000.00元，代理服务费由所有入库单位均摊，各入库单位应承担金额为6000.00元/n（n=实际入库单位）；入库单位在领取入库通知书前支付给招标代理机构，此费用各征集响应人应综合考虑，入库单位向招标代理机构一次性支付，入库单位不得要求征集人另行支付。</w:t>
      </w:r>
    </w:p>
    <w:p w14:paraId="4EF5C692">
      <w:pPr>
        <w:widowControl/>
        <w:spacing w:line="420" w:lineRule="atLeast"/>
        <w:ind w:firstLine="645"/>
        <w:rPr>
          <w:rFonts w:hint="eastAsia" w:ascii="仿宋" w:hAnsi="仿宋" w:eastAsia="仿宋" w:cs="仿宋"/>
          <w:b/>
          <w:bCs/>
          <w:color w:val="auto"/>
          <w:kern w:val="0"/>
          <w:sz w:val="32"/>
          <w:szCs w:val="32"/>
          <w:highlight w:val="none"/>
          <w:u w:val="single"/>
          <w:shd w:val="clear" w:color="auto" w:fill="FFFFFF"/>
          <w:lang w:val="en-US" w:eastAsia="zh-CN"/>
        </w:rPr>
      </w:pPr>
      <w:r>
        <w:rPr>
          <w:rFonts w:hint="eastAsia" w:ascii="仿宋" w:hAnsi="仿宋" w:eastAsia="仿宋" w:cs="仿宋"/>
          <w:b/>
          <w:bCs/>
          <w:color w:val="auto"/>
          <w:kern w:val="0"/>
          <w:sz w:val="32"/>
          <w:szCs w:val="32"/>
          <w:highlight w:val="none"/>
          <w:shd w:val="clear" w:color="auto" w:fill="FFFFFF"/>
        </w:rPr>
        <w:t>十</w:t>
      </w:r>
      <w:r>
        <w:rPr>
          <w:rFonts w:hint="eastAsia" w:ascii="仿宋" w:hAnsi="仿宋" w:eastAsia="仿宋" w:cs="仿宋"/>
          <w:b/>
          <w:bCs/>
          <w:color w:val="auto"/>
          <w:kern w:val="0"/>
          <w:sz w:val="32"/>
          <w:szCs w:val="32"/>
          <w:highlight w:val="none"/>
          <w:shd w:val="clear" w:color="auto" w:fill="FFFFFF"/>
          <w:lang w:val="en-US" w:eastAsia="zh-CN"/>
        </w:rPr>
        <w:t>三</w:t>
      </w:r>
      <w:r>
        <w:rPr>
          <w:rFonts w:hint="eastAsia" w:ascii="仿宋" w:hAnsi="仿宋" w:eastAsia="仿宋" w:cs="仿宋"/>
          <w:b/>
          <w:bCs/>
          <w:color w:val="auto"/>
          <w:kern w:val="0"/>
          <w:sz w:val="32"/>
          <w:szCs w:val="32"/>
          <w:highlight w:val="none"/>
          <w:shd w:val="clear" w:color="auto" w:fill="FFFFFF"/>
        </w:rPr>
        <w:t>、</w:t>
      </w:r>
      <w:r>
        <w:rPr>
          <w:rFonts w:hint="eastAsia" w:ascii="仿宋" w:hAnsi="仿宋" w:eastAsia="仿宋" w:cs="仿宋"/>
          <w:b/>
          <w:bCs/>
          <w:color w:val="auto"/>
          <w:kern w:val="0"/>
          <w:sz w:val="32"/>
          <w:szCs w:val="32"/>
          <w:highlight w:val="none"/>
          <w:u w:val="single"/>
          <w:shd w:val="clear" w:color="auto" w:fill="FFFFFF"/>
          <w:lang w:val="en-US" w:eastAsia="zh-CN"/>
        </w:rPr>
        <w:t>凡对本次公告内容提出询问，请按以下方式联系：</w:t>
      </w:r>
    </w:p>
    <w:p w14:paraId="46EC741E">
      <w:pPr>
        <w:widowControl/>
        <w:spacing w:line="420" w:lineRule="atLeast"/>
        <w:ind w:firstLine="645"/>
        <w:rPr>
          <w:rFonts w:hint="eastAsia" w:ascii="仿宋" w:hAnsi="仿宋" w:eastAsia="仿宋" w:cs="仿宋"/>
          <w:color w:val="auto"/>
          <w:kern w:val="0"/>
          <w:sz w:val="32"/>
          <w:szCs w:val="32"/>
          <w:highlight w:val="none"/>
          <w:u w:val="single"/>
          <w:shd w:val="clear" w:color="auto" w:fill="FFFFFF"/>
          <w:lang w:val="en-US" w:eastAsia="zh-CN"/>
        </w:rPr>
      </w:pPr>
      <w:r>
        <w:rPr>
          <w:rFonts w:hint="eastAsia" w:ascii="仿宋" w:hAnsi="仿宋" w:eastAsia="仿宋" w:cs="仿宋"/>
          <w:color w:val="auto"/>
          <w:kern w:val="0"/>
          <w:sz w:val="32"/>
          <w:szCs w:val="32"/>
          <w:highlight w:val="none"/>
          <w:u w:val="single"/>
          <w:shd w:val="clear" w:color="auto" w:fill="FFFFFF"/>
          <w:lang w:val="en-US" w:eastAsia="zh-CN"/>
        </w:rPr>
        <w:t>1、征集人名称：</w:t>
      </w:r>
      <w:r>
        <w:rPr>
          <w:rFonts w:hint="eastAsia" w:ascii="仿宋" w:hAnsi="仿宋" w:eastAsia="仿宋" w:cs="仿宋"/>
          <w:color w:val="auto"/>
          <w:kern w:val="0"/>
          <w:sz w:val="32"/>
          <w:szCs w:val="32"/>
          <w:highlight w:val="none"/>
          <w:u w:val="single"/>
          <w:shd w:val="clear" w:color="auto" w:fill="FFFFFF"/>
        </w:rPr>
        <w:t>铜陵金诚投资集团有限公司</w:t>
      </w:r>
    </w:p>
    <w:p w14:paraId="3A0A4F99">
      <w:pPr>
        <w:widowControl/>
        <w:spacing w:line="420" w:lineRule="atLeast"/>
        <w:ind w:firstLine="645"/>
        <w:rPr>
          <w:rFonts w:hint="default" w:ascii="仿宋" w:hAnsi="仿宋" w:eastAsia="仿宋" w:cs="仿宋"/>
          <w:color w:val="auto"/>
          <w:kern w:val="0"/>
          <w:sz w:val="32"/>
          <w:szCs w:val="32"/>
          <w:highlight w:val="none"/>
          <w:u w:val="single"/>
          <w:shd w:val="clear" w:color="auto" w:fill="FFFFFF"/>
          <w:lang w:val="en-US" w:eastAsia="zh-CN"/>
        </w:rPr>
      </w:pPr>
      <w:r>
        <w:rPr>
          <w:rFonts w:hint="eastAsia" w:ascii="仿宋" w:hAnsi="仿宋" w:eastAsia="仿宋" w:cs="仿宋"/>
          <w:color w:val="auto"/>
          <w:kern w:val="0"/>
          <w:sz w:val="32"/>
          <w:szCs w:val="32"/>
          <w:highlight w:val="none"/>
          <w:u w:val="single"/>
          <w:shd w:val="clear" w:color="auto" w:fill="FFFFFF"/>
          <w:lang w:val="en-US" w:eastAsia="zh-CN"/>
        </w:rPr>
        <w:t xml:space="preserve">联系人：陶先生     </w:t>
      </w:r>
      <w:r>
        <w:rPr>
          <w:rFonts w:hint="eastAsia" w:ascii="仿宋" w:hAnsi="仿宋" w:eastAsia="仿宋" w:cs="仿宋"/>
          <w:color w:val="auto"/>
          <w:kern w:val="0"/>
          <w:sz w:val="32"/>
          <w:szCs w:val="32"/>
          <w:highlight w:val="none"/>
          <w:u w:val="none"/>
          <w:shd w:val="clear" w:color="auto" w:fill="FFFFFF"/>
          <w:lang w:val="en-US" w:eastAsia="zh-CN"/>
        </w:rPr>
        <w:t xml:space="preserve">      </w:t>
      </w:r>
      <w:r>
        <w:rPr>
          <w:rFonts w:hint="eastAsia" w:ascii="仿宋" w:hAnsi="仿宋" w:eastAsia="仿宋" w:cs="仿宋"/>
          <w:color w:val="auto"/>
          <w:kern w:val="0"/>
          <w:sz w:val="32"/>
          <w:szCs w:val="32"/>
          <w:highlight w:val="none"/>
          <w:u w:val="single"/>
          <w:shd w:val="clear" w:color="auto" w:fill="FFFFFF"/>
          <w:lang w:val="en-US" w:eastAsia="zh-CN"/>
        </w:rPr>
        <w:t>电  话：18756251861</w:t>
      </w:r>
    </w:p>
    <w:p w14:paraId="6BDCB323">
      <w:pPr>
        <w:widowControl/>
        <w:spacing w:line="420" w:lineRule="atLeast"/>
        <w:ind w:firstLine="645"/>
        <w:rPr>
          <w:rFonts w:hint="eastAsia" w:ascii="仿宋" w:hAnsi="仿宋" w:eastAsia="仿宋" w:cs="仿宋"/>
          <w:color w:val="auto"/>
          <w:kern w:val="0"/>
          <w:sz w:val="32"/>
          <w:szCs w:val="32"/>
          <w:highlight w:val="none"/>
          <w:u w:val="single"/>
          <w:shd w:val="clear" w:color="auto" w:fill="FFFFFF"/>
          <w:lang w:val="en-US" w:eastAsia="zh-CN"/>
        </w:rPr>
      </w:pPr>
      <w:r>
        <w:rPr>
          <w:rFonts w:hint="eastAsia" w:ascii="仿宋" w:hAnsi="仿宋" w:eastAsia="仿宋" w:cs="仿宋"/>
          <w:color w:val="auto"/>
          <w:kern w:val="0"/>
          <w:sz w:val="32"/>
          <w:szCs w:val="32"/>
          <w:highlight w:val="none"/>
          <w:u w:val="single"/>
          <w:shd w:val="clear" w:color="auto" w:fill="FFFFFF"/>
          <w:lang w:val="en-US" w:eastAsia="zh-CN"/>
        </w:rPr>
        <w:t>联系地址：安徽省铜陵市郊区大通美食广场A座</w:t>
      </w:r>
    </w:p>
    <w:p w14:paraId="21D8D715">
      <w:pPr>
        <w:widowControl/>
        <w:spacing w:line="420" w:lineRule="atLeast"/>
        <w:ind w:firstLine="645"/>
        <w:rPr>
          <w:rFonts w:hint="eastAsia" w:ascii="仿宋" w:hAnsi="仿宋" w:eastAsia="仿宋" w:cs="仿宋"/>
          <w:color w:val="auto"/>
          <w:kern w:val="0"/>
          <w:sz w:val="32"/>
          <w:szCs w:val="32"/>
          <w:highlight w:val="none"/>
          <w:u w:val="single"/>
          <w:shd w:val="clear" w:color="auto" w:fill="FFFFFF"/>
          <w:lang w:val="en-US" w:eastAsia="zh-CN"/>
        </w:rPr>
      </w:pPr>
      <w:r>
        <w:rPr>
          <w:rFonts w:hint="eastAsia" w:ascii="仿宋" w:hAnsi="仿宋" w:eastAsia="仿宋" w:cs="仿宋"/>
          <w:color w:val="auto"/>
          <w:kern w:val="0"/>
          <w:sz w:val="32"/>
          <w:szCs w:val="32"/>
          <w:highlight w:val="none"/>
          <w:u w:val="single"/>
          <w:shd w:val="clear" w:color="auto" w:fill="FFFFFF"/>
          <w:lang w:val="en-US" w:eastAsia="zh-CN"/>
        </w:rPr>
        <w:t>2、招标代理机构：铜陵大通三江建设发展有限公司</w:t>
      </w:r>
    </w:p>
    <w:p w14:paraId="4BC91D1F">
      <w:pPr>
        <w:widowControl/>
        <w:spacing w:line="420" w:lineRule="atLeast"/>
        <w:ind w:firstLine="645"/>
        <w:rPr>
          <w:rFonts w:hint="eastAsia" w:ascii="仿宋" w:hAnsi="仿宋" w:eastAsia="仿宋" w:cs="仿宋"/>
          <w:color w:val="auto"/>
          <w:kern w:val="0"/>
          <w:sz w:val="32"/>
          <w:szCs w:val="32"/>
          <w:highlight w:val="none"/>
          <w:u w:val="single"/>
          <w:shd w:val="clear" w:color="auto" w:fill="FFFFFF"/>
          <w:lang w:val="en-US" w:eastAsia="zh-CN"/>
        </w:rPr>
      </w:pPr>
      <w:r>
        <w:rPr>
          <w:rFonts w:hint="eastAsia" w:ascii="仿宋" w:hAnsi="仿宋" w:eastAsia="仿宋" w:cs="仿宋"/>
          <w:color w:val="auto"/>
          <w:kern w:val="0"/>
          <w:sz w:val="32"/>
          <w:szCs w:val="32"/>
          <w:highlight w:val="none"/>
          <w:u w:val="single"/>
          <w:shd w:val="clear" w:color="auto" w:fill="FFFFFF"/>
          <w:lang w:val="en-US" w:eastAsia="zh-CN"/>
        </w:rPr>
        <w:t xml:space="preserve">联系人：侯先生     </w:t>
      </w:r>
      <w:r>
        <w:rPr>
          <w:rFonts w:hint="eastAsia" w:ascii="仿宋" w:hAnsi="仿宋" w:eastAsia="仿宋" w:cs="仿宋"/>
          <w:color w:val="auto"/>
          <w:kern w:val="0"/>
          <w:sz w:val="32"/>
          <w:szCs w:val="32"/>
          <w:highlight w:val="none"/>
          <w:u w:val="none"/>
          <w:shd w:val="clear" w:color="auto" w:fill="FFFFFF"/>
          <w:lang w:val="en-US" w:eastAsia="zh-CN"/>
        </w:rPr>
        <w:t xml:space="preserve">      </w:t>
      </w:r>
      <w:r>
        <w:rPr>
          <w:rFonts w:hint="eastAsia" w:ascii="仿宋" w:hAnsi="仿宋" w:eastAsia="仿宋" w:cs="仿宋"/>
          <w:color w:val="auto"/>
          <w:kern w:val="0"/>
          <w:sz w:val="32"/>
          <w:szCs w:val="32"/>
          <w:highlight w:val="none"/>
          <w:u w:val="single"/>
          <w:shd w:val="clear" w:color="auto" w:fill="FFFFFF"/>
          <w:lang w:val="en-US" w:eastAsia="zh-CN"/>
        </w:rPr>
        <w:t>电  话：17755136969</w:t>
      </w:r>
    </w:p>
    <w:p w14:paraId="7C268A66">
      <w:pPr>
        <w:widowControl/>
        <w:spacing w:line="420" w:lineRule="atLeast"/>
        <w:ind w:firstLine="645"/>
        <w:rPr>
          <w:rFonts w:hint="eastAsia" w:ascii="仿宋" w:hAnsi="仿宋" w:eastAsia="仿宋" w:cs="仿宋"/>
          <w:color w:val="auto"/>
          <w:kern w:val="0"/>
          <w:sz w:val="32"/>
          <w:szCs w:val="32"/>
          <w:highlight w:val="none"/>
          <w:u w:val="single"/>
          <w:shd w:val="clear" w:color="auto" w:fill="FFFFFF"/>
          <w:lang w:val="en-US" w:eastAsia="zh-CN"/>
        </w:rPr>
      </w:pPr>
      <w:r>
        <w:rPr>
          <w:rFonts w:hint="eastAsia" w:ascii="仿宋" w:hAnsi="仿宋" w:eastAsia="仿宋" w:cs="仿宋"/>
          <w:color w:val="auto"/>
          <w:kern w:val="0"/>
          <w:sz w:val="32"/>
          <w:szCs w:val="32"/>
          <w:highlight w:val="none"/>
          <w:u w:val="single"/>
          <w:shd w:val="clear" w:color="auto" w:fill="FFFFFF"/>
          <w:lang w:val="en-US" w:eastAsia="zh-CN"/>
        </w:rPr>
        <w:t>地址：铜陵市郊区大通美食广场A座二楼</w:t>
      </w:r>
    </w:p>
    <w:p w14:paraId="569210AF">
      <w:pPr>
        <w:widowControl/>
        <w:spacing w:line="420" w:lineRule="atLeast"/>
        <w:ind w:firstLine="645"/>
        <w:rPr>
          <w:color w:val="auto"/>
          <w:highlight w:val="none"/>
        </w:rPr>
      </w:pPr>
      <w:r>
        <w:rPr>
          <w:rFonts w:hint="eastAsia" w:ascii="仿宋" w:hAnsi="仿宋" w:eastAsia="仿宋" w:cs="仿宋"/>
          <w:b/>
          <w:bCs/>
          <w:color w:val="auto"/>
          <w:kern w:val="0"/>
          <w:sz w:val="32"/>
          <w:szCs w:val="32"/>
          <w:highlight w:val="none"/>
          <w:shd w:val="clear" w:color="auto" w:fill="FFFFFF"/>
        </w:rPr>
        <w:t>附件：</w:t>
      </w:r>
    </w:p>
    <w:p w14:paraId="7CAC549E">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shd w:val="clear" w:color="auto" w:fill="FFFFFF"/>
        </w:rPr>
        <w:t>1、入库申请登记表</w:t>
      </w:r>
    </w:p>
    <w:p w14:paraId="0EB4473B">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shd w:val="clear" w:color="auto" w:fill="FFFFFF"/>
        </w:rPr>
        <w:t>2、入库承诺书</w:t>
      </w:r>
    </w:p>
    <w:p w14:paraId="60388279">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shd w:val="clear" w:color="auto" w:fill="FFFFFF"/>
        </w:rPr>
        <w:t>3、评选办法</w:t>
      </w:r>
    </w:p>
    <w:p w14:paraId="752A9121">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shd w:val="clear" w:color="auto" w:fill="FFFFFF"/>
        </w:rPr>
        <w:t>4、考核办法</w:t>
      </w:r>
    </w:p>
    <w:p w14:paraId="3232F702">
      <w:pPr>
        <w:widowControl/>
        <w:spacing w:line="420" w:lineRule="atLeast"/>
        <w:ind w:firstLine="645"/>
        <w:rPr>
          <w:rFonts w:hint="eastAsia" w:ascii="仿宋" w:hAnsi="仿宋" w:eastAsia="仿宋" w:cs="仿宋"/>
          <w:color w:val="auto"/>
          <w:kern w:val="0"/>
          <w:sz w:val="32"/>
          <w:szCs w:val="32"/>
          <w:highlight w:val="none"/>
          <w:shd w:val="clear" w:color="auto" w:fill="FFFFFF"/>
        </w:rPr>
      </w:pPr>
    </w:p>
    <w:p w14:paraId="3CA5A30E">
      <w:pPr>
        <w:widowControl/>
        <w:spacing w:line="420" w:lineRule="atLeast"/>
        <w:ind w:firstLine="645"/>
        <w:rPr>
          <w:rFonts w:hint="eastAsia" w:ascii="仿宋" w:hAnsi="仿宋" w:eastAsia="仿宋" w:cs="仿宋"/>
          <w:color w:val="auto"/>
          <w:kern w:val="0"/>
          <w:sz w:val="32"/>
          <w:szCs w:val="32"/>
          <w:highlight w:val="none"/>
          <w:shd w:val="clear" w:color="auto" w:fill="FFFFFF"/>
        </w:rPr>
      </w:pPr>
    </w:p>
    <w:p w14:paraId="79A98882">
      <w:pPr>
        <w:rPr>
          <w:rFonts w:ascii="仿宋" w:hAnsi="仿宋" w:eastAsia="仿宋" w:cs="仿宋"/>
          <w:color w:val="auto"/>
          <w:kern w:val="0"/>
          <w:sz w:val="32"/>
          <w:szCs w:val="32"/>
          <w:highlight w:val="none"/>
          <w:shd w:val="clear" w:color="auto" w:fill="FFFFFF"/>
        </w:rPr>
      </w:pPr>
      <w:r>
        <w:rPr>
          <w:rFonts w:hint="eastAsia" w:ascii="仿宋" w:hAnsi="仿宋" w:eastAsia="仿宋" w:cs="仿宋"/>
          <w:color w:val="auto"/>
          <w:kern w:val="0"/>
          <w:sz w:val="32"/>
          <w:szCs w:val="32"/>
          <w:highlight w:val="none"/>
          <w:shd w:val="clear" w:color="auto" w:fill="FFFFFF"/>
        </w:rPr>
        <w:br w:type="page"/>
      </w:r>
    </w:p>
    <w:p w14:paraId="5E64C30A">
      <w:pPr>
        <w:widowControl/>
        <w:spacing w:line="420" w:lineRule="atLeast"/>
        <w:rPr>
          <w:color w:val="auto"/>
          <w:highlight w:val="none"/>
        </w:rPr>
      </w:pPr>
      <w:r>
        <w:rPr>
          <w:rFonts w:hint="eastAsia" w:ascii="仿宋" w:hAnsi="仿宋" w:eastAsia="仿宋" w:cs="仿宋"/>
          <w:color w:val="auto"/>
          <w:kern w:val="0"/>
          <w:sz w:val="32"/>
          <w:szCs w:val="32"/>
          <w:highlight w:val="none"/>
          <w:shd w:val="clear" w:color="auto" w:fill="FFFFFF"/>
        </w:rPr>
        <w:t>附件1:</w:t>
      </w:r>
    </w:p>
    <w:p w14:paraId="1413618D">
      <w:pPr>
        <w:widowControl/>
        <w:spacing w:line="420" w:lineRule="atLeast"/>
        <w:jc w:val="center"/>
        <w:rPr>
          <w:color w:val="auto"/>
          <w:highlight w:val="none"/>
        </w:rPr>
      </w:pPr>
      <w:r>
        <w:rPr>
          <w:rFonts w:hint="eastAsia" w:ascii="仿宋" w:hAnsi="仿宋" w:eastAsia="仿宋" w:cs="仿宋"/>
          <w:b/>
          <w:bCs/>
          <w:color w:val="auto"/>
          <w:kern w:val="0"/>
          <w:sz w:val="32"/>
          <w:szCs w:val="32"/>
          <w:highlight w:val="none"/>
          <w:shd w:val="clear" w:color="auto" w:fill="FFFFFF"/>
        </w:rPr>
        <w:t>入库申请登记表</w:t>
      </w:r>
    </w:p>
    <w:tbl>
      <w:tblPr>
        <w:tblStyle w:val="5"/>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1951"/>
        <w:gridCol w:w="2552"/>
        <w:gridCol w:w="708"/>
        <w:gridCol w:w="1903"/>
        <w:gridCol w:w="1408"/>
      </w:tblGrid>
      <w:tr w14:paraId="2FBFAFB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trPr>
        <w:tc>
          <w:tcPr>
            <w:tcW w:w="19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14:paraId="5AC7F7A1">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申请人名称</w:t>
            </w:r>
          </w:p>
        </w:tc>
        <w:tc>
          <w:tcPr>
            <w:tcW w:w="6571"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tcPr>
          <w:p w14:paraId="6185979F">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r>
      <w:tr w14:paraId="6911AF1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trPr>
        <w:tc>
          <w:tcPr>
            <w:tcW w:w="1951" w:type="dxa"/>
            <w:tcBorders>
              <w:top w:val="nil"/>
              <w:left w:val="single" w:color="auto" w:sz="8" w:space="0"/>
              <w:bottom w:val="single" w:color="auto" w:sz="8" w:space="0"/>
              <w:right w:val="single" w:color="auto" w:sz="8" w:space="0"/>
            </w:tcBorders>
            <w:shd w:val="clear" w:color="auto" w:fill="auto"/>
            <w:tcMar>
              <w:left w:w="108" w:type="dxa"/>
              <w:right w:w="108" w:type="dxa"/>
            </w:tcMar>
          </w:tcPr>
          <w:p w14:paraId="3FEBFDD3">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注册地址</w:t>
            </w:r>
          </w:p>
        </w:tc>
        <w:tc>
          <w:tcPr>
            <w:tcW w:w="2552" w:type="dxa"/>
            <w:tcBorders>
              <w:top w:val="nil"/>
              <w:left w:val="nil"/>
              <w:bottom w:val="single" w:color="auto" w:sz="8" w:space="0"/>
              <w:right w:val="single" w:color="auto" w:sz="8" w:space="0"/>
            </w:tcBorders>
            <w:shd w:val="clear" w:color="auto" w:fill="auto"/>
            <w:tcMar>
              <w:left w:w="108" w:type="dxa"/>
              <w:right w:w="108" w:type="dxa"/>
            </w:tcMar>
          </w:tcPr>
          <w:p w14:paraId="2CF8B407">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c>
          <w:tcPr>
            <w:tcW w:w="2611"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tcPr>
          <w:p w14:paraId="324D534C">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邮政编码</w:t>
            </w:r>
          </w:p>
        </w:tc>
        <w:tc>
          <w:tcPr>
            <w:tcW w:w="1408" w:type="dxa"/>
            <w:tcBorders>
              <w:top w:val="single" w:color="auto" w:sz="8" w:space="0"/>
              <w:left w:val="nil"/>
              <w:bottom w:val="single" w:color="auto" w:sz="8" w:space="0"/>
              <w:right w:val="single" w:color="auto" w:sz="8" w:space="0"/>
            </w:tcBorders>
            <w:shd w:val="clear" w:color="auto" w:fill="auto"/>
            <w:tcMar>
              <w:left w:w="108" w:type="dxa"/>
              <w:right w:w="108" w:type="dxa"/>
            </w:tcMar>
          </w:tcPr>
          <w:p w14:paraId="1064E77B">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r>
      <w:tr w14:paraId="4C16A0E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trPr>
        <w:tc>
          <w:tcPr>
            <w:tcW w:w="1951" w:type="dxa"/>
            <w:tcBorders>
              <w:top w:val="nil"/>
              <w:left w:val="single" w:color="auto" w:sz="8" w:space="0"/>
              <w:bottom w:val="single" w:color="auto" w:sz="8" w:space="0"/>
              <w:right w:val="single" w:color="auto" w:sz="8" w:space="0"/>
            </w:tcBorders>
            <w:shd w:val="clear" w:color="auto" w:fill="auto"/>
            <w:tcMar>
              <w:left w:w="108" w:type="dxa"/>
              <w:right w:w="108" w:type="dxa"/>
            </w:tcMar>
          </w:tcPr>
          <w:p w14:paraId="5D2924CE">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联系人</w:t>
            </w:r>
          </w:p>
        </w:tc>
        <w:tc>
          <w:tcPr>
            <w:tcW w:w="2552" w:type="dxa"/>
            <w:tcBorders>
              <w:top w:val="nil"/>
              <w:left w:val="nil"/>
              <w:bottom w:val="single" w:color="auto" w:sz="8" w:space="0"/>
              <w:right w:val="single" w:color="auto" w:sz="8" w:space="0"/>
            </w:tcBorders>
            <w:shd w:val="clear" w:color="auto" w:fill="auto"/>
            <w:tcMar>
              <w:left w:w="108" w:type="dxa"/>
              <w:right w:w="108" w:type="dxa"/>
            </w:tcMar>
          </w:tcPr>
          <w:p w14:paraId="3F5BD6B9">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c>
          <w:tcPr>
            <w:tcW w:w="2611" w:type="dxa"/>
            <w:gridSpan w:val="2"/>
            <w:tcBorders>
              <w:top w:val="nil"/>
              <w:left w:val="nil"/>
              <w:bottom w:val="single" w:color="auto" w:sz="8" w:space="0"/>
              <w:right w:val="single" w:color="auto" w:sz="8" w:space="0"/>
            </w:tcBorders>
            <w:shd w:val="clear" w:color="auto" w:fill="auto"/>
            <w:tcMar>
              <w:left w:w="108" w:type="dxa"/>
              <w:right w:w="108" w:type="dxa"/>
            </w:tcMar>
          </w:tcPr>
          <w:p w14:paraId="0C61D551">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联系电话</w:t>
            </w:r>
          </w:p>
        </w:tc>
        <w:tc>
          <w:tcPr>
            <w:tcW w:w="1408" w:type="dxa"/>
            <w:tcBorders>
              <w:top w:val="nil"/>
              <w:left w:val="nil"/>
              <w:bottom w:val="single" w:color="auto" w:sz="8" w:space="0"/>
              <w:right w:val="single" w:color="auto" w:sz="8" w:space="0"/>
            </w:tcBorders>
            <w:shd w:val="clear" w:color="auto" w:fill="auto"/>
            <w:tcMar>
              <w:left w:w="108" w:type="dxa"/>
              <w:right w:w="108" w:type="dxa"/>
            </w:tcMar>
          </w:tcPr>
          <w:p w14:paraId="7CF75A53">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r>
      <w:tr w14:paraId="15AEA9A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trPr>
        <w:tc>
          <w:tcPr>
            <w:tcW w:w="1951" w:type="dxa"/>
            <w:tcBorders>
              <w:top w:val="nil"/>
              <w:left w:val="single" w:color="auto" w:sz="8" w:space="0"/>
              <w:bottom w:val="single" w:color="auto" w:sz="8" w:space="0"/>
              <w:right w:val="single" w:color="auto" w:sz="8" w:space="0"/>
            </w:tcBorders>
            <w:shd w:val="clear" w:color="auto" w:fill="auto"/>
            <w:tcMar>
              <w:left w:w="108" w:type="dxa"/>
              <w:right w:w="108" w:type="dxa"/>
            </w:tcMar>
          </w:tcPr>
          <w:p w14:paraId="235107AC">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法定代表人</w:t>
            </w:r>
          </w:p>
        </w:tc>
        <w:tc>
          <w:tcPr>
            <w:tcW w:w="2552" w:type="dxa"/>
            <w:tcBorders>
              <w:top w:val="nil"/>
              <w:left w:val="nil"/>
              <w:bottom w:val="single" w:color="auto" w:sz="8" w:space="0"/>
              <w:right w:val="single" w:color="auto" w:sz="8" w:space="0"/>
            </w:tcBorders>
            <w:shd w:val="clear" w:color="auto" w:fill="auto"/>
            <w:tcMar>
              <w:left w:w="108" w:type="dxa"/>
              <w:right w:w="108" w:type="dxa"/>
            </w:tcMar>
          </w:tcPr>
          <w:p w14:paraId="4EFB4090">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c>
          <w:tcPr>
            <w:tcW w:w="2611" w:type="dxa"/>
            <w:gridSpan w:val="2"/>
            <w:tcBorders>
              <w:top w:val="nil"/>
              <w:left w:val="nil"/>
              <w:bottom w:val="single" w:color="auto" w:sz="8" w:space="0"/>
              <w:right w:val="single" w:color="auto" w:sz="8" w:space="0"/>
            </w:tcBorders>
            <w:shd w:val="clear" w:color="auto" w:fill="auto"/>
            <w:tcMar>
              <w:left w:w="108" w:type="dxa"/>
              <w:right w:w="108" w:type="dxa"/>
            </w:tcMar>
          </w:tcPr>
          <w:p w14:paraId="23D46328">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联系电话</w:t>
            </w:r>
          </w:p>
        </w:tc>
        <w:tc>
          <w:tcPr>
            <w:tcW w:w="1408" w:type="dxa"/>
            <w:tcBorders>
              <w:top w:val="nil"/>
              <w:left w:val="nil"/>
              <w:bottom w:val="single" w:color="auto" w:sz="8" w:space="0"/>
              <w:right w:val="single" w:color="auto" w:sz="8" w:space="0"/>
            </w:tcBorders>
            <w:shd w:val="clear" w:color="auto" w:fill="auto"/>
            <w:tcMar>
              <w:left w:w="108" w:type="dxa"/>
              <w:right w:w="108" w:type="dxa"/>
            </w:tcMar>
          </w:tcPr>
          <w:p w14:paraId="3781F461">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r>
      <w:tr w14:paraId="29F0BA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trPr>
        <w:tc>
          <w:tcPr>
            <w:tcW w:w="1951" w:type="dxa"/>
            <w:tcBorders>
              <w:top w:val="nil"/>
              <w:left w:val="single" w:color="auto" w:sz="8" w:space="0"/>
              <w:bottom w:val="single" w:color="auto" w:sz="8" w:space="0"/>
              <w:right w:val="single" w:color="auto" w:sz="8" w:space="0"/>
            </w:tcBorders>
            <w:shd w:val="clear" w:color="auto" w:fill="auto"/>
            <w:tcMar>
              <w:left w:w="108" w:type="dxa"/>
              <w:right w:w="108" w:type="dxa"/>
            </w:tcMar>
          </w:tcPr>
          <w:p w14:paraId="3A14D0ED">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企业成立时间</w:t>
            </w:r>
          </w:p>
        </w:tc>
        <w:tc>
          <w:tcPr>
            <w:tcW w:w="2552" w:type="dxa"/>
            <w:tcBorders>
              <w:top w:val="nil"/>
              <w:left w:val="nil"/>
              <w:bottom w:val="single" w:color="auto" w:sz="8" w:space="0"/>
              <w:right w:val="single" w:color="auto" w:sz="8" w:space="0"/>
            </w:tcBorders>
            <w:shd w:val="clear" w:color="auto" w:fill="auto"/>
            <w:tcMar>
              <w:left w:w="108" w:type="dxa"/>
              <w:right w:w="108" w:type="dxa"/>
            </w:tcMar>
          </w:tcPr>
          <w:p w14:paraId="71250701">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c>
          <w:tcPr>
            <w:tcW w:w="4019" w:type="dxa"/>
            <w:gridSpan w:val="3"/>
            <w:tcBorders>
              <w:top w:val="nil"/>
              <w:left w:val="nil"/>
              <w:bottom w:val="single" w:color="auto" w:sz="8" w:space="0"/>
              <w:right w:val="single" w:color="auto" w:sz="8" w:space="0"/>
            </w:tcBorders>
            <w:shd w:val="clear" w:color="auto" w:fill="auto"/>
            <w:tcMar>
              <w:left w:w="108" w:type="dxa"/>
              <w:right w:w="108" w:type="dxa"/>
            </w:tcMar>
          </w:tcPr>
          <w:p w14:paraId="743D1F46">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员工总人数：</w:t>
            </w:r>
          </w:p>
        </w:tc>
      </w:tr>
      <w:tr w14:paraId="0DF5D72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trPr>
        <w:tc>
          <w:tcPr>
            <w:tcW w:w="19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7B9891C">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企业资质</w:t>
            </w:r>
          </w:p>
        </w:tc>
        <w:tc>
          <w:tcPr>
            <w:tcW w:w="2552" w:type="dxa"/>
            <w:tcBorders>
              <w:top w:val="nil"/>
              <w:left w:val="nil"/>
              <w:bottom w:val="single" w:color="auto" w:sz="8" w:space="0"/>
              <w:right w:val="single" w:color="auto" w:sz="8" w:space="0"/>
            </w:tcBorders>
            <w:shd w:val="clear" w:color="auto" w:fill="auto"/>
            <w:tcMar>
              <w:left w:w="108" w:type="dxa"/>
              <w:right w:w="108" w:type="dxa"/>
            </w:tcMar>
            <w:vAlign w:val="center"/>
          </w:tcPr>
          <w:p w14:paraId="31E25F88">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p w14:paraId="3F98D6D9">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c>
          <w:tcPr>
            <w:tcW w:w="70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14:paraId="23CAA2ED">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其中</w:t>
            </w:r>
          </w:p>
        </w:tc>
        <w:tc>
          <w:tcPr>
            <w:tcW w:w="190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753D13D9">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项目负责人</w:t>
            </w:r>
          </w:p>
        </w:tc>
        <w:tc>
          <w:tcPr>
            <w:tcW w:w="140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76989B9A">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r>
      <w:tr w14:paraId="796A78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trPr>
        <w:tc>
          <w:tcPr>
            <w:tcW w:w="19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C9C31D0">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营业执照号</w:t>
            </w:r>
          </w:p>
        </w:tc>
        <w:tc>
          <w:tcPr>
            <w:tcW w:w="2552" w:type="dxa"/>
            <w:tcBorders>
              <w:top w:val="nil"/>
              <w:left w:val="nil"/>
              <w:bottom w:val="single" w:color="auto" w:sz="8" w:space="0"/>
              <w:right w:val="single" w:color="auto" w:sz="8" w:space="0"/>
            </w:tcBorders>
            <w:shd w:val="clear" w:color="auto" w:fill="auto"/>
            <w:tcMar>
              <w:left w:w="108" w:type="dxa"/>
              <w:right w:w="108" w:type="dxa"/>
            </w:tcMar>
            <w:vAlign w:val="center"/>
          </w:tcPr>
          <w:p w14:paraId="7E41783A">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c>
          <w:tcPr>
            <w:tcW w:w="70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14:paraId="327C56BA">
            <w:pPr>
              <w:keepNext w:val="0"/>
              <w:keepLines w:val="0"/>
              <w:suppressLineNumbers w:val="0"/>
              <w:spacing w:before="0" w:beforeAutospacing="0" w:after="0" w:afterAutospacing="0"/>
              <w:ind w:left="0" w:right="0"/>
              <w:rPr>
                <w:rFonts w:hint="default" w:ascii="宋体"/>
                <w:color w:val="auto"/>
                <w:sz w:val="24"/>
                <w:highlight w:val="none"/>
              </w:rPr>
            </w:pPr>
          </w:p>
        </w:tc>
        <w:tc>
          <w:tcPr>
            <w:tcW w:w="1903" w:type="dxa"/>
            <w:tcBorders>
              <w:top w:val="nil"/>
              <w:left w:val="nil"/>
              <w:bottom w:val="single" w:color="auto" w:sz="8" w:space="0"/>
              <w:right w:val="single" w:color="auto" w:sz="8" w:space="0"/>
            </w:tcBorders>
            <w:shd w:val="clear" w:color="auto" w:fill="auto"/>
            <w:tcMar>
              <w:left w:w="108" w:type="dxa"/>
              <w:right w:w="108" w:type="dxa"/>
            </w:tcMar>
          </w:tcPr>
          <w:p w14:paraId="5343F1B3">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高级职称人员</w:t>
            </w:r>
          </w:p>
        </w:tc>
        <w:tc>
          <w:tcPr>
            <w:tcW w:w="1408" w:type="dxa"/>
            <w:tcBorders>
              <w:top w:val="nil"/>
              <w:left w:val="nil"/>
              <w:bottom w:val="single" w:color="auto" w:sz="8" w:space="0"/>
              <w:right w:val="single" w:color="auto" w:sz="8" w:space="0"/>
            </w:tcBorders>
            <w:shd w:val="clear" w:color="auto" w:fill="auto"/>
            <w:tcMar>
              <w:left w:w="108" w:type="dxa"/>
              <w:right w:w="108" w:type="dxa"/>
            </w:tcMar>
            <w:vAlign w:val="center"/>
          </w:tcPr>
          <w:p w14:paraId="51EDF6D0">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r>
      <w:tr w14:paraId="3AA80C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trPr>
        <w:tc>
          <w:tcPr>
            <w:tcW w:w="19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DC34430">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注册资金</w:t>
            </w:r>
          </w:p>
        </w:tc>
        <w:tc>
          <w:tcPr>
            <w:tcW w:w="2552" w:type="dxa"/>
            <w:tcBorders>
              <w:top w:val="nil"/>
              <w:left w:val="nil"/>
              <w:bottom w:val="single" w:color="auto" w:sz="8" w:space="0"/>
              <w:right w:val="single" w:color="auto" w:sz="8" w:space="0"/>
            </w:tcBorders>
            <w:shd w:val="clear" w:color="auto" w:fill="auto"/>
            <w:tcMar>
              <w:left w:w="108" w:type="dxa"/>
              <w:right w:w="108" w:type="dxa"/>
            </w:tcMar>
            <w:vAlign w:val="center"/>
          </w:tcPr>
          <w:p w14:paraId="5EC80D6E">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c>
          <w:tcPr>
            <w:tcW w:w="70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14:paraId="69F9A1AC">
            <w:pPr>
              <w:keepNext w:val="0"/>
              <w:keepLines w:val="0"/>
              <w:suppressLineNumbers w:val="0"/>
              <w:spacing w:before="0" w:beforeAutospacing="0" w:after="0" w:afterAutospacing="0"/>
              <w:ind w:left="0" w:right="0"/>
              <w:rPr>
                <w:rFonts w:hint="default" w:ascii="宋体"/>
                <w:color w:val="auto"/>
                <w:sz w:val="24"/>
                <w:highlight w:val="none"/>
              </w:rPr>
            </w:pPr>
          </w:p>
        </w:tc>
        <w:tc>
          <w:tcPr>
            <w:tcW w:w="1903" w:type="dxa"/>
            <w:tcBorders>
              <w:top w:val="nil"/>
              <w:left w:val="nil"/>
              <w:bottom w:val="single" w:color="auto" w:sz="8" w:space="0"/>
              <w:right w:val="single" w:color="auto" w:sz="8" w:space="0"/>
            </w:tcBorders>
            <w:shd w:val="clear" w:color="auto" w:fill="auto"/>
            <w:tcMar>
              <w:left w:w="108" w:type="dxa"/>
              <w:right w:w="108" w:type="dxa"/>
            </w:tcMar>
          </w:tcPr>
          <w:p w14:paraId="4086EA37">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中级职称人员</w:t>
            </w:r>
          </w:p>
        </w:tc>
        <w:tc>
          <w:tcPr>
            <w:tcW w:w="1408" w:type="dxa"/>
            <w:tcBorders>
              <w:top w:val="nil"/>
              <w:left w:val="nil"/>
              <w:bottom w:val="single" w:color="auto" w:sz="8" w:space="0"/>
              <w:right w:val="single" w:color="auto" w:sz="8" w:space="0"/>
            </w:tcBorders>
            <w:shd w:val="clear" w:color="auto" w:fill="auto"/>
            <w:tcMar>
              <w:left w:w="108" w:type="dxa"/>
              <w:right w:w="108" w:type="dxa"/>
            </w:tcMar>
            <w:vAlign w:val="center"/>
          </w:tcPr>
          <w:p w14:paraId="629D5D3E">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r>
      <w:tr w14:paraId="3D85E5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trPr>
        <w:tc>
          <w:tcPr>
            <w:tcW w:w="19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52A0C1B">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开户银行</w:t>
            </w:r>
          </w:p>
        </w:tc>
        <w:tc>
          <w:tcPr>
            <w:tcW w:w="2552" w:type="dxa"/>
            <w:tcBorders>
              <w:top w:val="nil"/>
              <w:left w:val="nil"/>
              <w:bottom w:val="single" w:color="auto" w:sz="8" w:space="0"/>
              <w:right w:val="single" w:color="auto" w:sz="8" w:space="0"/>
            </w:tcBorders>
            <w:shd w:val="clear" w:color="auto" w:fill="auto"/>
            <w:tcMar>
              <w:left w:w="108" w:type="dxa"/>
              <w:right w:w="108" w:type="dxa"/>
            </w:tcMar>
            <w:vAlign w:val="center"/>
          </w:tcPr>
          <w:p w14:paraId="717EC4A2">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c>
          <w:tcPr>
            <w:tcW w:w="70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14:paraId="795E59F1">
            <w:pPr>
              <w:keepNext w:val="0"/>
              <w:keepLines w:val="0"/>
              <w:suppressLineNumbers w:val="0"/>
              <w:spacing w:before="0" w:beforeAutospacing="0" w:after="0" w:afterAutospacing="0"/>
              <w:ind w:left="0" w:right="0"/>
              <w:rPr>
                <w:rFonts w:hint="default" w:ascii="宋体"/>
                <w:color w:val="auto"/>
                <w:sz w:val="24"/>
                <w:highlight w:val="none"/>
              </w:rPr>
            </w:pPr>
          </w:p>
        </w:tc>
        <w:tc>
          <w:tcPr>
            <w:tcW w:w="1903" w:type="dxa"/>
            <w:tcBorders>
              <w:top w:val="nil"/>
              <w:left w:val="nil"/>
              <w:bottom w:val="single" w:color="auto" w:sz="8" w:space="0"/>
              <w:right w:val="single" w:color="auto" w:sz="8" w:space="0"/>
            </w:tcBorders>
            <w:shd w:val="clear" w:color="auto" w:fill="auto"/>
            <w:tcMar>
              <w:left w:w="108" w:type="dxa"/>
              <w:right w:w="108" w:type="dxa"/>
            </w:tcMar>
          </w:tcPr>
          <w:p w14:paraId="451523B0">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初级职称人员</w:t>
            </w:r>
          </w:p>
        </w:tc>
        <w:tc>
          <w:tcPr>
            <w:tcW w:w="1408" w:type="dxa"/>
            <w:tcBorders>
              <w:top w:val="nil"/>
              <w:left w:val="nil"/>
              <w:bottom w:val="single" w:color="auto" w:sz="8" w:space="0"/>
              <w:right w:val="single" w:color="auto" w:sz="8" w:space="0"/>
            </w:tcBorders>
            <w:shd w:val="clear" w:color="auto" w:fill="auto"/>
            <w:tcMar>
              <w:left w:w="108" w:type="dxa"/>
              <w:right w:w="108" w:type="dxa"/>
            </w:tcMar>
            <w:vAlign w:val="center"/>
          </w:tcPr>
          <w:p w14:paraId="47317E8A">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r>
      <w:tr w14:paraId="4F5EEE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trPr>
        <w:tc>
          <w:tcPr>
            <w:tcW w:w="19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59E6891">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账号</w:t>
            </w:r>
          </w:p>
        </w:tc>
        <w:tc>
          <w:tcPr>
            <w:tcW w:w="2552" w:type="dxa"/>
            <w:tcBorders>
              <w:top w:val="nil"/>
              <w:left w:val="nil"/>
              <w:bottom w:val="single" w:color="auto" w:sz="8" w:space="0"/>
              <w:right w:val="single" w:color="auto" w:sz="8" w:space="0"/>
            </w:tcBorders>
            <w:shd w:val="clear" w:color="auto" w:fill="auto"/>
            <w:tcMar>
              <w:left w:w="108" w:type="dxa"/>
              <w:right w:w="108" w:type="dxa"/>
            </w:tcMar>
            <w:vAlign w:val="center"/>
          </w:tcPr>
          <w:p w14:paraId="1F9ACF20">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c>
          <w:tcPr>
            <w:tcW w:w="70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14:paraId="03B58FA5">
            <w:pPr>
              <w:keepNext w:val="0"/>
              <w:keepLines w:val="0"/>
              <w:suppressLineNumbers w:val="0"/>
              <w:spacing w:before="0" w:beforeAutospacing="0" w:after="0" w:afterAutospacing="0"/>
              <w:ind w:left="0" w:right="0"/>
              <w:rPr>
                <w:rFonts w:hint="default" w:ascii="宋体"/>
                <w:color w:val="auto"/>
                <w:sz w:val="24"/>
                <w:highlight w:val="none"/>
              </w:rPr>
            </w:pPr>
          </w:p>
        </w:tc>
        <w:tc>
          <w:tcPr>
            <w:tcW w:w="1903" w:type="dxa"/>
            <w:tcBorders>
              <w:top w:val="nil"/>
              <w:left w:val="nil"/>
              <w:bottom w:val="single" w:color="auto" w:sz="8" w:space="0"/>
              <w:right w:val="single" w:color="auto" w:sz="8" w:space="0"/>
            </w:tcBorders>
            <w:shd w:val="clear" w:color="auto" w:fill="auto"/>
            <w:tcMar>
              <w:left w:w="108" w:type="dxa"/>
              <w:right w:w="108" w:type="dxa"/>
            </w:tcMar>
          </w:tcPr>
          <w:p w14:paraId="6A443468">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技工</w:t>
            </w:r>
          </w:p>
        </w:tc>
        <w:tc>
          <w:tcPr>
            <w:tcW w:w="1408" w:type="dxa"/>
            <w:tcBorders>
              <w:top w:val="nil"/>
              <w:left w:val="nil"/>
              <w:bottom w:val="single" w:color="auto" w:sz="8" w:space="0"/>
              <w:right w:val="single" w:color="auto" w:sz="8" w:space="0"/>
            </w:tcBorders>
            <w:shd w:val="clear" w:color="auto" w:fill="auto"/>
            <w:tcMar>
              <w:left w:w="108" w:type="dxa"/>
              <w:right w:w="108" w:type="dxa"/>
            </w:tcMar>
            <w:vAlign w:val="center"/>
          </w:tcPr>
          <w:p w14:paraId="224858FD">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 </w:t>
            </w:r>
          </w:p>
        </w:tc>
      </w:tr>
      <w:tr w14:paraId="5A5E4DC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687" w:hRule="atLeast"/>
        </w:trPr>
        <w:tc>
          <w:tcPr>
            <w:tcW w:w="19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A4BA8EC">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color w:val="auto"/>
                <w:kern w:val="0"/>
                <w:sz w:val="28"/>
                <w:szCs w:val="28"/>
                <w:highlight w:val="none"/>
              </w:rPr>
              <w:t>申请人意见</w:t>
            </w:r>
          </w:p>
        </w:tc>
        <w:tc>
          <w:tcPr>
            <w:tcW w:w="6571"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14:paraId="2BEE8F0B">
            <w:pPr>
              <w:keepNext w:val="0"/>
              <w:keepLines w:val="0"/>
              <w:widowControl/>
              <w:suppressLineNumbers w:val="0"/>
              <w:spacing w:before="0" w:beforeAutospacing="0" w:after="0" w:afterAutospacing="0"/>
              <w:ind w:left="0" w:right="0"/>
              <w:rPr>
                <w:rFonts w:hint="default"/>
                <w:color w:val="auto"/>
                <w:highlight w:val="none"/>
              </w:rPr>
            </w:pPr>
            <w:r>
              <w:rPr>
                <w:rFonts w:hint="eastAsia" w:ascii="仿宋" w:hAnsi="仿宋" w:eastAsia="仿宋" w:cs="仿宋"/>
                <w:color w:val="auto"/>
                <w:kern w:val="0"/>
                <w:sz w:val="28"/>
                <w:szCs w:val="28"/>
                <w:highlight w:val="none"/>
              </w:rPr>
              <w:t> </w:t>
            </w:r>
          </w:p>
          <w:p w14:paraId="6EA4F832">
            <w:pPr>
              <w:keepNext w:val="0"/>
              <w:keepLines w:val="0"/>
              <w:widowControl/>
              <w:suppressLineNumbers w:val="0"/>
              <w:spacing w:before="0" w:beforeAutospacing="0" w:after="0" w:afterAutospacing="0"/>
              <w:ind w:left="0" w:right="0" w:firstLine="1400"/>
              <w:rPr>
                <w:rFonts w:hint="default"/>
                <w:color w:val="auto"/>
                <w:highlight w:val="none"/>
              </w:rPr>
            </w:pPr>
            <w:r>
              <w:rPr>
                <w:rFonts w:hint="eastAsia" w:ascii="仿宋" w:hAnsi="仿宋" w:eastAsia="仿宋" w:cs="仿宋"/>
                <w:color w:val="auto"/>
                <w:kern w:val="0"/>
                <w:sz w:val="28"/>
                <w:szCs w:val="28"/>
                <w:highlight w:val="none"/>
              </w:rPr>
              <w:t>申请人：</w:t>
            </w:r>
            <w:r>
              <w:rPr>
                <w:rFonts w:hint="eastAsia" w:ascii="仿宋" w:hAnsi="仿宋" w:eastAsia="仿宋" w:cs="仿宋"/>
                <w:color w:val="auto"/>
                <w:kern w:val="0"/>
                <w:sz w:val="28"/>
                <w:szCs w:val="28"/>
                <w:highlight w:val="none"/>
                <w:u w:val="single"/>
              </w:rPr>
              <w:t>  （盖章）   </w:t>
            </w:r>
          </w:p>
          <w:p w14:paraId="2AB9D42D">
            <w:pPr>
              <w:keepNext w:val="0"/>
              <w:keepLines w:val="0"/>
              <w:widowControl/>
              <w:suppressLineNumbers w:val="0"/>
              <w:spacing w:before="0" w:beforeAutospacing="0" w:after="0" w:afterAutospacing="0"/>
              <w:ind w:left="0" w:right="0"/>
              <w:rPr>
                <w:rFonts w:hint="eastAsia" w:ascii="仿宋" w:hAnsi="仿宋" w:eastAsia="仿宋" w:cs="仿宋"/>
                <w:color w:val="auto"/>
                <w:kern w:val="0"/>
                <w:sz w:val="28"/>
                <w:szCs w:val="28"/>
                <w:highlight w:val="none"/>
                <w:u w:val="single"/>
              </w:rPr>
            </w:pPr>
            <w:r>
              <w:rPr>
                <w:rFonts w:hint="eastAsia" w:ascii="仿宋" w:hAnsi="仿宋" w:eastAsia="仿宋" w:cs="仿宋"/>
                <w:color w:val="auto"/>
                <w:kern w:val="0"/>
                <w:sz w:val="28"/>
                <w:szCs w:val="28"/>
                <w:highlight w:val="none"/>
              </w:rPr>
              <w:t>          法人代表或委托代理人：</w:t>
            </w:r>
            <w:r>
              <w:rPr>
                <w:rFonts w:hint="eastAsia" w:ascii="仿宋" w:hAnsi="仿宋" w:eastAsia="仿宋" w:cs="仿宋"/>
                <w:color w:val="auto"/>
                <w:kern w:val="0"/>
                <w:sz w:val="28"/>
                <w:szCs w:val="28"/>
                <w:highlight w:val="none"/>
                <w:u w:val="single"/>
              </w:rPr>
              <w:t>  （签字或盖章）</w:t>
            </w:r>
          </w:p>
          <w:p w14:paraId="7CC1EC1F">
            <w:pPr>
              <w:keepNext w:val="0"/>
              <w:keepLines w:val="0"/>
              <w:widowControl/>
              <w:suppressLineNumbers w:val="0"/>
              <w:spacing w:before="0" w:beforeAutospacing="0" w:after="0" w:afterAutospacing="0"/>
              <w:ind w:left="0" w:right="0"/>
              <w:jc w:val="center"/>
              <w:rPr>
                <w:rFonts w:hint="eastAsia" w:ascii="仿宋" w:hAnsi="仿宋" w:eastAsia="仿宋" w:cs="仿宋"/>
                <w:color w:val="auto"/>
                <w:kern w:val="0"/>
                <w:sz w:val="28"/>
                <w:szCs w:val="28"/>
                <w:highlight w:val="none"/>
                <w:u w:val="single"/>
              </w:rPr>
            </w:pPr>
            <w:r>
              <w:rPr>
                <w:rFonts w:hint="eastAsia" w:ascii="仿宋" w:hAnsi="仿宋" w:eastAsia="仿宋" w:cs="仿宋"/>
                <w:color w:val="auto"/>
                <w:sz w:val="32"/>
                <w:szCs w:val="32"/>
                <w:highlight w:val="none"/>
                <w:shd w:val="clear" w:fill="FFFFFF"/>
                <w:lang w:val="en-US" w:eastAsia="zh-CN" w:bidi="ar"/>
              </w:rPr>
              <w:t xml:space="preserve">             年    月   日</w:t>
            </w:r>
          </w:p>
        </w:tc>
      </w:tr>
    </w:tbl>
    <w:p w14:paraId="0197574A">
      <w:pPr>
        <w:widowControl/>
        <w:spacing w:line="420" w:lineRule="atLeast"/>
        <w:rPr>
          <w:color w:val="auto"/>
          <w:highlight w:val="none"/>
        </w:rPr>
      </w:pPr>
      <w:r>
        <w:rPr>
          <w:rFonts w:hint="eastAsia" w:ascii="仿宋" w:hAnsi="仿宋" w:eastAsia="仿宋" w:cs="仿宋"/>
          <w:color w:val="auto"/>
          <w:kern w:val="0"/>
          <w:sz w:val="32"/>
          <w:szCs w:val="32"/>
          <w:highlight w:val="none"/>
          <w:shd w:val="clear" w:color="auto" w:fill="FFFFFF"/>
        </w:rPr>
        <w:t>注：1、申请人应提供营业执照副本、资质证书副本、安全生产许可证副本复印件加盖单位公章；</w:t>
      </w:r>
    </w:p>
    <w:p w14:paraId="35AA642A">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shd w:val="clear" w:color="auto" w:fill="FFFFFF"/>
        </w:rPr>
        <w:t>2、所有申请入库资料应装订成册。</w:t>
      </w:r>
    </w:p>
    <w:p w14:paraId="160F2A0F">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shd w:val="clear" w:color="auto" w:fill="FFFFFF"/>
        </w:rPr>
        <w:t> </w:t>
      </w:r>
    </w:p>
    <w:p w14:paraId="77DA8A63">
      <w:pPr>
        <w:widowControl/>
        <w:spacing w:line="420" w:lineRule="atLeast"/>
        <w:ind w:firstLine="645"/>
        <w:rPr>
          <w:color w:val="auto"/>
          <w:highlight w:val="none"/>
        </w:rPr>
      </w:pPr>
    </w:p>
    <w:p w14:paraId="0D8B514B">
      <w:pPr>
        <w:widowControl/>
        <w:spacing w:line="420" w:lineRule="atLeast"/>
        <w:rPr>
          <w:color w:val="auto"/>
          <w:highlight w:val="none"/>
        </w:rPr>
      </w:pPr>
      <w:r>
        <w:rPr>
          <w:rFonts w:hint="eastAsia" w:ascii="仿宋" w:hAnsi="仿宋" w:eastAsia="仿宋" w:cs="仿宋"/>
          <w:color w:val="auto"/>
          <w:kern w:val="0"/>
          <w:sz w:val="32"/>
          <w:szCs w:val="32"/>
          <w:highlight w:val="none"/>
          <w:shd w:val="clear" w:color="auto" w:fill="FFFFFF"/>
        </w:rPr>
        <w:t>附件2：</w:t>
      </w:r>
    </w:p>
    <w:p w14:paraId="7AE664DF">
      <w:pPr>
        <w:widowControl/>
        <w:spacing w:line="420" w:lineRule="atLeast"/>
        <w:jc w:val="center"/>
        <w:rPr>
          <w:color w:val="auto"/>
          <w:highlight w:val="none"/>
        </w:rPr>
      </w:pPr>
      <w:r>
        <w:rPr>
          <w:rFonts w:hint="eastAsia" w:ascii="仿宋" w:hAnsi="仿宋" w:eastAsia="仿宋" w:cs="仿宋"/>
          <w:b/>
          <w:bCs/>
          <w:color w:val="auto"/>
          <w:kern w:val="0"/>
          <w:sz w:val="32"/>
          <w:szCs w:val="32"/>
          <w:highlight w:val="none"/>
          <w:shd w:val="clear" w:color="auto" w:fill="FFFFFF"/>
        </w:rPr>
        <w:t>入库承诺书</w:t>
      </w:r>
    </w:p>
    <w:p w14:paraId="2C912113">
      <w:pPr>
        <w:keepNext w:val="0"/>
        <w:keepLines w:val="0"/>
        <w:pageBreakBefore w:val="0"/>
        <w:widowControl/>
        <w:kinsoku/>
        <w:wordWrap/>
        <w:overflowPunct/>
        <w:topLinePunct w:val="0"/>
        <w:autoSpaceDE/>
        <w:autoSpaceDN/>
        <w:bidi w:val="0"/>
        <w:adjustRightInd/>
        <w:snapToGrid/>
        <w:spacing w:line="560" w:lineRule="exact"/>
        <w:textAlignment w:val="auto"/>
        <w:rPr>
          <w:color w:val="auto"/>
          <w:highlight w:val="none"/>
        </w:rPr>
      </w:pPr>
      <w:r>
        <w:rPr>
          <w:rFonts w:hint="eastAsia" w:ascii="仿宋" w:hAnsi="仿宋" w:eastAsia="仿宋" w:cs="仿宋"/>
          <w:color w:val="auto"/>
          <w:kern w:val="0"/>
          <w:sz w:val="32"/>
          <w:szCs w:val="32"/>
          <w:highlight w:val="none"/>
          <w:shd w:val="clear" w:color="auto" w:fill="FFFFFF"/>
        </w:rPr>
        <w:t>铜陵金诚投资集团有限公司:</w:t>
      </w:r>
    </w:p>
    <w:p w14:paraId="3CC9ED08">
      <w:pPr>
        <w:keepNext w:val="0"/>
        <w:keepLines w:val="0"/>
        <w:pageBreakBefore w:val="0"/>
        <w:widowControl/>
        <w:kinsoku/>
        <w:wordWrap/>
        <w:overflowPunct/>
        <w:topLinePunct w:val="0"/>
        <w:autoSpaceDE/>
        <w:autoSpaceDN/>
        <w:bidi w:val="0"/>
        <w:adjustRightInd/>
        <w:snapToGrid/>
        <w:spacing w:line="560" w:lineRule="exact"/>
        <w:ind w:firstLine="645"/>
        <w:textAlignment w:val="auto"/>
        <w:rPr>
          <w:color w:val="auto"/>
          <w:highlight w:val="none"/>
        </w:rPr>
      </w:pPr>
      <w:r>
        <w:rPr>
          <w:rFonts w:hint="eastAsia" w:ascii="仿宋" w:hAnsi="仿宋" w:eastAsia="仿宋" w:cs="仿宋"/>
          <w:color w:val="auto"/>
          <w:kern w:val="0"/>
          <w:sz w:val="32"/>
          <w:szCs w:val="32"/>
          <w:highlight w:val="none"/>
          <w:shd w:val="clear" w:color="auto" w:fill="FFFFFF"/>
        </w:rPr>
        <w:t>我单位本着诚实、信用的原则、根据《金诚投资集团建设工程质量第三方检测服务库征集公告》，自愿申请加入金诚投资集团及权属公司负责组织实施的建设工程质量第三方检测服务库，并作出如下承诺：</w:t>
      </w:r>
    </w:p>
    <w:p w14:paraId="7D24AEB5">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left="1366" w:hanging="720"/>
        <w:textAlignment w:val="auto"/>
        <w:rPr>
          <w:color w:val="auto"/>
          <w:highlight w:val="none"/>
        </w:rPr>
      </w:pPr>
      <w:r>
        <w:rPr>
          <w:rFonts w:hint="eastAsia" w:ascii="仿宋" w:hAnsi="仿宋" w:eastAsia="仿宋" w:cs="仿宋"/>
          <w:color w:val="auto"/>
          <w:sz w:val="32"/>
          <w:szCs w:val="32"/>
          <w:highlight w:val="none"/>
          <w:shd w:val="clear" w:color="auto" w:fill="FFFFFF"/>
        </w:rPr>
        <w:t>一、本次申报的所有资料真实、有效、合法。</w:t>
      </w:r>
    </w:p>
    <w:p w14:paraId="2B345D96">
      <w:pPr>
        <w:keepNext w:val="0"/>
        <w:keepLines w:val="0"/>
        <w:pageBreakBefore w:val="0"/>
        <w:widowControl/>
        <w:kinsoku/>
        <w:wordWrap/>
        <w:overflowPunct/>
        <w:topLinePunct w:val="0"/>
        <w:autoSpaceDE/>
        <w:autoSpaceDN/>
        <w:bidi w:val="0"/>
        <w:adjustRightInd/>
        <w:snapToGrid/>
        <w:spacing w:line="560" w:lineRule="exact"/>
        <w:ind w:firstLine="645"/>
        <w:textAlignment w:val="auto"/>
        <w:rPr>
          <w:color w:val="auto"/>
          <w:highlight w:val="none"/>
        </w:rPr>
      </w:pPr>
      <w:r>
        <w:rPr>
          <w:rFonts w:hint="eastAsia" w:ascii="仿宋" w:hAnsi="仿宋" w:eastAsia="仿宋" w:cs="仿宋"/>
          <w:color w:val="auto"/>
          <w:kern w:val="0"/>
          <w:sz w:val="32"/>
          <w:szCs w:val="32"/>
          <w:highlight w:val="none"/>
          <w:shd w:val="clear" w:color="auto" w:fill="FFFFFF"/>
        </w:rPr>
        <w:t>二、如我单位入选金诚投资集团及权属公司负责组织实施的建设工程质量第三方检测服务库，服务期间将自觉接受行政主管部门、建库单位及建设单位的监督管理。</w:t>
      </w:r>
    </w:p>
    <w:p w14:paraId="35DB0AB9">
      <w:pPr>
        <w:keepNext w:val="0"/>
        <w:keepLines w:val="0"/>
        <w:pageBreakBefore w:val="0"/>
        <w:widowControl/>
        <w:kinsoku/>
        <w:wordWrap/>
        <w:overflowPunct/>
        <w:topLinePunct w:val="0"/>
        <w:autoSpaceDE/>
        <w:autoSpaceDN/>
        <w:bidi w:val="0"/>
        <w:adjustRightInd/>
        <w:snapToGrid/>
        <w:spacing w:line="560" w:lineRule="exact"/>
        <w:ind w:firstLine="645"/>
        <w:textAlignment w:val="auto"/>
        <w:rPr>
          <w:color w:val="auto"/>
          <w:highlight w:val="none"/>
        </w:rPr>
      </w:pPr>
      <w:r>
        <w:rPr>
          <w:rFonts w:hint="eastAsia" w:ascii="仿宋" w:hAnsi="仿宋" w:eastAsia="仿宋" w:cs="仿宋"/>
          <w:color w:val="auto"/>
          <w:kern w:val="0"/>
          <w:sz w:val="32"/>
          <w:szCs w:val="32"/>
          <w:highlight w:val="none"/>
          <w:shd w:val="clear" w:color="auto" w:fill="FFFFFF"/>
        </w:rPr>
        <w:t>三、我单位承诺入库后配置满足工程所需要的仪器设备、工器具，检测仪器设备按规定检定合格后使用。配备专业培训合格的检测人员，并根据建设单位要求，随叫随到。</w:t>
      </w:r>
    </w:p>
    <w:p w14:paraId="54368F16">
      <w:pPr>
        <w:keepNext w:val="0"/>
        <w:keepLines w:val="0"/>
        <w:pageBreakBefore w:val="0"/>
        <w:widowControl/>
        <w:kinsoku/>
        <w:wordWrap/>
        <w:overflowPunct/>
        <w:topLinePunct w:val="0"/>
        <w:autoSpaceDE/>
        <w:autoSpaceDN/>
        <w:bidi w:val="0"/>
        <w:adjustRightInd/>
        <w:snapToGrid/>
        <w:spacing w:line="560" w:lineRule="exact"/>
        <w:ind w:firstLine="645"/>
        <w:textAlignment w:val="auto"/>
        <w:rPr>
          <w:color w:val="auto"/>
          <w:highlight w:val="none"/>
        </w:rPr>
      </w:pPr>
      <w:r>
        <w:rPr>
          <w:rFonts w:hint="eastAsia" w:ascii="仿宋" w:hAnsi="仿宋" w:eastAsia="仿宋" w:cs="仿宋"/>
          <w:color w:val="auto"/>
          <w:kern w:val="0"/>
          <w:sz w:val="32"/>
          <w:szCs w:val="32"/>
          <w:highlight w:val="none"/>
          <w:shd w:val="clear" w:color="auto" w:fill="FFFFFF"/>
        </w:rPr>
        <w:t>四、我单位将严格按照依照《建设工程质量检测管理办法》及国家、地方相关的法律、法规、政策的规定，按时按量完成任务。</w:t>
      </w:r>
    </w:p>
    <w:p w14:paraId="34DDE338">
      <w:pPr>
        <w:keepNext w:val="0"/>
        <w:keepLines w:val="0"/>
        <w:pageBreakBefore w:val="0"/>
        <w:widowControl/>
        <w:kinsoku/>
        <w:wordWrap/>
        <w:overflowPunct/>
        <w:topLinePunct w:val="0"/>
        <w:autoSpaceDE/>
        <w:autoSpaceDN/>
        <w:bidi w:val="0"/>
        <w:adjustRightInd/>
        <w:snapToGrid/>
        <w:spacing w:line="560" w:lineRule="exact"/>
        <w:ind w:firstLine="645"/>
        <w:textAlignment w:val="auto"/>
        <w:rPr>
          <w:color w:val="auto"/>
          <w:highlight w:val="none"/>
        </w:rPr>
      </w:pPr>
      <w:r>
        <w:rPr>
          <w:rFonts w:hint="eastAsia" w:ascii="仿宋" w:hAnsi="仿宋" w:eastAsia="仿宋" w:cs="仿宋"/>
          <w:color w:val="auto"/>
          <w:kern w:val="0"/>
          <w:sz w:val="32"/>
          <w:szCs w:val="32"/>
          <w:highlight w:val="none"/>
          <w:shd w:val="clear" w:color="auto" w:fill="FFFFFF"/>
        </w:rPr>
        <w:t>我单位若违反上述承诺，自愿接受行政主管部门、铜陵金诚投资集团有限公司及建设单位等相关单位依据相关规定所作出的处罚。</w:t>
      </w:r>
    </w:p>
    <w:p w14:paraId="5B4EB5C3">
      <w:pPr>
        <w:keepNext w:val="0"/>
        <w:keepLines w:val="0"/>
        <w:widowControl/>
        <w:suppressLineNumbers w:val="0"/>
        <w:spacing w:before="0" w:beforeAutospacing="0" w:after="0" w:afterAutospacing="0" w:line="420" w:lineRule="atLeast"/>
        <w:ind w:left="0" w:right="0" w:firstLine="645"/>
        <w:jc w:val="both"/>
        <w:rPr>
          <w:rFonts w:hint="eastAsia" w:ascii="仿宋" w:hAnsi="仿宋" w:eastAsia="仿宋" w:cs="仿宋"/>
          <w:color w:val="auto"/>
          <w:kern w:val="0"/>
          <w:sz w:val="32"/>
          <w:szCs w:val="32"/>
          <w:highlight w:val="none"/>
          <w:u w:val="single"/>
          <w:shd w:val="clear" w:fill="FFFFFF"/>
          <w:lang w:val="en-US" w:bidi="ar"/>
        </w:rPr>
      </w:pPr>
      <w:r>
        <w:rPr>
          <w:rFonts w:hint="eastAsia" w:ascii="仿宋" w:hAnsi="仿宋" w:eastAsia="仿宋" w:cs="仿宋"/>
          <w:color w:val="auto"/>
          <w:kern w:val="0"/>
          <w:sz w:val="32"/>
          <w:szCs w:val="32"/>
          <w:highlight w:val="none"/>
          <w:shd w:val="clear" w:color="auto" w:fill="FFFFFF"/>
        </w:rPr>
        <w:t>                          </w:t>
      </w:r>
      <w:r>
        <w:rPr>
          <w:rFonts w:hint="eastAsia" w:ascii="仿宋" w:hAnsi="仿宋" w:eastAsia="仿宋" w:cs="仿宋"/>
          <w:color w:val="auto"/>
          <w:kern w:val="0"/>
          <w:sz w:val="32"/>
          <w:szCs w:val="32"/>
          <w:highlight w:val="none"/>
          <w:shd w:val="clear" w:fill="FFFFFF"/>
          <w:lang w:val="en-US" w:eastAsia="zh-CN" w:bidi="ar"/>
        </w:rPr>
        <w:t>申请单位：</w:t>
      </w:r>
      <w:r>
        <w:rPr>
          <w:rFonts w:hint="eastAsia" w:ascii="仿宋" w:hAnsi="仿宋" w:eastAsia="仿宋" w:cs="仿宋"/>
          <w:color w:val="auto"/>
          <w:kern w:val="0"/>
          <w:sz w:val="32"/>
          <w:szCs w:val="32"/>
          <w:highlight w:val="none"/>
          <w:u w:val="single"/>
          <w:shd w:val="clear" w:fill="FFFFFF"/>
          <w:lang w:val="en-US" w:eastAsia="zh-CN" w:bidi="ar"/>
        </w:rPr>
        <w:t>   （盖章）    </w:t>
      </w:r>
    </w:p>
    <w:p w14:paraId="70C62C78">
      <w:pPr>
        <w:keepNext w:val="0"/>
        <w:keepLines w:val="0"/>
        <w:widowControl/>
        <w:suppressLineNumbers w:val="0"/>
        <w:spacing w:before="0" w:beforeAutospacing="0" w:after="0" w:afterAutospacing="0" w:line="420" w:lineRule="atLeast"/>
        <w:ind w:left="0" w:right="0" w:firstLine="2240" w:firstLineChars="800"/>
        <w:jc w:val="both"/>
        <w:rPr>
          <w:rFonts w:hint="eastAsia" w:ascii="仿宋" w:hAnsi="仿宋" w:eastAsia="仿宋" w:cs="仿宋"/>
          <w:color w:val="auto"/>
          <w:kern w:val="0"/>
          <w:sz w:val="32"/>
          <w:szCs w:val="32"/>
          <w:highlight w:val="none"/>
          <w:u w:val="single"/>
          <w:shd w:val="clear" w:fill="FFFFFF"/>
          <w:lang w:val="en-US" w:bidi="ar"/>
        </w:rPr>
      </w:pPr>
      <w:r>
        <w:rPr>
          <w:rFonts w:hint="eastAsia" w:ascii="仿宋" w:hAnsi="仿宋" w:eastAsia="仿宋" w:cs="仿宋"/>
          <w:color w:val="auto"/>
          <w:kern w:val="0"/>
          <w:sz w:val="28"/>
          <w:szCs w:val="28"/>
          <w:highlight w:val="none"/>
          <w:lang w:val="en-US" w:eastAsia="zh-CN" w:bidi="ar"/>
        </w:rPr>
        <w:t>法人代表或委托代理人：</w:t>
      </w:r>
      <w:r>
        <w:rPr>
          <w:rFonts w:hint="eastAsia" w:ascii="仿宋" w:hAnsi="仿宋" w:eastAsia="仿宋" w:cs="仿宋"/>
          <w:color w:val="auto"/>
          <w:kern w:val="0"/>
          <w:sz w:val="28"/>
          <w:szCs w:val="28"/>
          <w:highlight w:val="none"/>
          <w:u w:val="single"/>
          <w:lang w:val="en-US" w:eastAsia="zh-CN" w:bidi="ar"/>
        </w:rPr>
        <w:t>  （签字或盖章）</w:t>
      </w:r>
    </w:p>
    <w:p w14:paraId="7D322D4D">
      <w:pPr>
        <w:keepNext w:val="0"/>
        <w:keepLines w:val="0"/>
        <w:widowControl/>
        <w:suppressLineNumbers w:val="0"/>
        <w:jc w:val="left"/>
        <w:rPr>
          <w:color w:val="auto"/>
          <w:highlight w:val="none"/>
        </w:rPr>
      </w:pPr>
      <w:r>
        <w:rPr>
          <w:rFonts w:hint="eastAsia" w:ascii="仿宋" w:hAnsi="仿宋" w:eastAsia="仿宋" w:cs="仿宋"/>
          <w:color w:val="auto"/>
          <w:kern w:val="2"/>
          <w:sz w:val="32"/>
          <w:szCs w:val="32"/>
          <w:highlight w:val="none"/>
          <w:shd w:val="clear" w:fill="FFFFFF"/>
          <w:lang w:val="en-US" w:eastAsia="zh-CN" w:bidi="ar"/>
        </w:rPr>
        <w:t>                                             年    月   日</w:t>
      </w:r>
    </w:p>
    <w:p w14:paraId="73DF85F2">
      <w:pPr>
        <w:widowControl/>
        <w:spacing w:line="420" w:lineRule="atLeast"/>
        <w:ind w:firstLine="645"/>
        <w:rPr>
          <w:color w:val="auto"/>
          <w:highlight w:val="none"/>
        </w:rPr>
      </w:pPr>
    </w:p>
    <w:p w14:paraId="07BFCDB6">
      <w:pPr>
        <w:widowControl/>
        <w:spacing w:line="420" w:lineRule="atLeast"/>
        <w:rPr>
          <w:color w:val="auto"/>
          <w:highlight w:val="none"/>
        </w:rPr>
      </w:pPr>
      <w:r>
        <w:rPr>
          <w:rFonts w:hint="eastAsia" w:ascii="仿宋" w:hAnsi="仿宋" w:eastAsia="仿宋" w:cs="仿宋"/>
          <w:color w:val="auto"/>
          <w:kern w:val="0"/>
          <w:sz w:val="32"/>
          <w:szCs w:val="32"/>
          <w:highlight w:val="none"/>
          <w:shd w:val="clear" w:color="auto" w:fill="FFFFFF"/>
        </w:rPr>
        <w:t>附件3：</w:t>
      </w:r>
    </w:p>
    <w:p w14:paraId="117FEEF9">
      <w:pPr>
        <w:widowControl/>
        <w:spacing w:line="420" w:lineRule="atLeast"/>
        <w:jc w:val="center"/>
        <w:rPr>
          <w:color w:val="auto"/>
          <w:highlight w:val="none"/>
        </w:rPr>
      </w:pPr>
      <w:r>
        <w:rPr>
          <w:rFonts w:hint="eastAsia" w:ascii="仿宋" w:hAnsi="仿宋" w:eastAsia="仿宋" w:cs="仿宋"/>
          <w:b/>
          <w:bCs/>
          <w:color w:val="auto"/>
          <w:kern w:val="0"/>
          <w:sz w:val="32"/>
          <w:szCs w:val="32"/>
          <w:highlight w:val="none"/>
          <w:shd w:val="clear" w:color="auto" w:fill="FFFFFF"/>
        </w:rPr>
        <w:t>评选办法</w:t>
      </w:r>
    </w:p>
    <w:tbl>
      <w:tblPr>
        <w:tblStyle w:val="5"/>
        <w:tblW w:w="9072"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1659"/>
        <w:gridCol w:w="992"/>
        <w:gridCol w:w="6421"/>
      </w:tblGrid>
      <w:tr w14:paraId="2E5D7D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1659" w:type="dxa"/>
            <w:tcBorders>
              <w:top w:val="single" w:color="auto" w:sz="8" w:space="0"/>
              <w:left w:val="single" w:color="auto" w:sz="8" w:space="0"/>
              <w:bottom w:val="single" w:color="auto" w:sz="8" w:space="0"/>
              <w:right w:val="single" w:color="auto" w:sz="8" w:space="0"/>
            </w:tcBorders>
            <w:shd w:val="clear" w:color="auto" w:fill="auto"/>
            <w:vAlign w:val="center"/>
          </w:tcPr>
          <w:p w14:paraId="6F3F6EEE">
            <w:pPr>
              <w:pStyle w:val="4"/>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宋体" w:hAnsi="宋体" w:eastAsia="宋体" w:cs="宋体"/>
                <w:color w:val="auto"/>
                <w:sz w:val="21"/>
                <w:szCs w:val="21"/>
                <w:highlight w:val="none"/>
              </w:rPr>
              <w:t>评选项</w:t>
            </w:r>
          </w:p>
        </w:tc>
        <w:tc>
          <w:tcPr>
            <w:tcW w:w="992" w:type="dxa"/>
            <w:tcBorders>
              <w:top w:val="single" w:color="auto" w:sz="8" w:space="0"/>
              <w:left w:val="nil"/>
              <w:bottom w:val="single" w:color="auto" w:sz="8" w:space="0"/>
              <w:right w:val="single" w:color="auto" w:sz="8" w:space="0"/>
            </w:tcBorders>
            <w:shd w:val="clear" w:color="auto" w:fill="auto"/>
            <w:vAlign w:val="center"/>
          </w:tcPr>
          <w:p w14:paraId="6EF6D5E0">
            <w:pPr>
              <w:pStyle w:val="4"/>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宋体" w:hAnsi="宋体" w:eastAsia="宋体" w:cs="宋体"/>
                <w:color w:val="auto"/>
                <w:sz w:val="21"/>
                <w:szCs w:val="21"/>
                <w:highlight w:val="none"/>
              </w:rPr>
              <w:t>分值</w:t>
            </w:r>
          </w:p>
        </w:tc>
        <w:tc>
          <w:tcPr>
            <w:tcW w:w="6421" w:type="dxa"/>
            <w:tcBorders>
              <w:top w:val="single" w:color="auto" w:sz="8" w:space="0"/>
              <w:left w:val="nil"/>
              <w:bottom w:val="single" w:color="auto" w:sz="8" w:space="0"/>
              <w:right w:val="single" w:color="auto" w:sz="8" w:space="0"/>
            </w:tcBorders>
            <w:shd w:val="clear" w:color="auto" w:fill="auto"/>
            <w:vAlign w:val="center"/>
          </w:tcPr>
          <w:p w14:paraId="1370CA49">
            <w:pPr>
              <w:pStyle w:val="4"/>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宋体" w:hAnsi="宋体" w:eastAsia="宋体" w:cs="宋体"/>
                <w:color w:val="auto"/>
                <w:sz w:val="21"/>
                <w:szCs w:val="21"/>
                <w:highlight w:val="none"/>
              </w:rPr>
              <w:t>评选标准</w:t>
            </w:r>
          </w:p>
        </w:tc>
      </w:tr>
      <w:tr w14:paraId="05F12A0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1659" w:type="dxa"/>
            <w:tcBorders>
              <w:top w:val="nil"/>
              <w:left w:val="single" w:color="auto" w:sz="8" w:space="0"/>
              <w:bottom w:val="single" w:color="auto" w:sz="8" w:space="0"/>
              <w:right w:val="single" w:color="auto" w:sz="8" w:space="0"/>
            </w:tcBorders>
            <w:shd w:val="clear" w:color="auto" w:fill="auto"/>
            <w:vAlign w:val="center"/>
          </w:tcPr>
          <w:p w14:paraId="5E7CC0A8">
            <w:pPr>
              <w:pStyle w:val="4"/>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宋体" w:hAnsi="宋体" w:eastAsia="宋体" w:cs="宋体"/>
                <w:color w:val="auto"/>
                <w:sz w:val="21"/>
                <w:szCs w:val="21"/>
                <w:highlight w:val="none"/>
              </w:rPr>
              <w:t>企业资信</w:t>
            </w:r>
          </w:p>
        </w:tc>
        <w:tc>
          <w:tcPr>
            <w:tcW w:w="992" w:type="dxa"/>
            <w:tcBorders>
              <w:top w:val="nil"/>
              <w:left w:val="nil"/>
              <w:bottom w:val="single" w:color="auto" w:sz="8" w:space="0"/>
              <w:right w:val="single" w:color="auto" w:sz="8" w:space="0"/>
            </w:tcBorders>
            <w:shd w:val="clear" w:color="auto" w:fill="auto"/>
            <w:vAlign w:val="center"/>
          </w:tcPr>
          <w:p w14:paraId="528C119B">
            <w:pPr>
              <w:pStyle w:val="4"/>
              <w:keepNext w:val="0"/>
              <w:keepLines w:val="0"/>
              <w:widowControl/>
              <w:suppressLineNumbers w:val="0"/>
              <w:spacing w:before="0" w:beforeAutospacing="0" w:after="0" w:afterAutospacing="0"/>
              <w:ind w:left="0" w:right="0"/>
              <w:jc w:val="center"/>
              <w:rPr>
                <w:rFonts w:hint="default"/>
                <w:color w:val="auto"/>
                <w:highlight w:val="none"/>
                <w:lang w:val="en-US"/>
              </w:rPr>
            </w:pPr>
            <w:r>
              <w:rPr>
                <w:rFonts w:hint="eastAsia" w:ascii="宋体" w:hAnsi="宋体" w:eastAsia="宋体" w:cs="宋体"/>
                <w:color w:val="auto"/>
                <w:sz w:val="21"/>
                <w:szCs w:val="21"/>
                <w:highlight w:val="none"/>
                <w:lang w:val="en-US" w:eastAsia="zh-CN"/>
              </w:rPr>
              <w:t>15</w:t>
            </w:r>
          </w:p>
        </w:tc>
        <w:tc>
          <w:tcPr>
            <w:tcW w:w="6421" w:type="dxa"/>
            <w:tcBorders>
              <w:top w:val="nil"/>
              <w:left w:val="nil"/>
              <w:bottom w:val="single" w:color="auto" w:sz="8" w:space="0"/>
              <w:right w:val="single" w:color="auto" w:sz="8" w:space="0"/>
            </w:tcBorders>
            <w:shd w:val="clear" w:color="auto" w:fill="auto"/>
            <w:vAlign w:val="center"/>
          </w:tcPr>
          <w:p w14:paraId="041EBB99">
            <w:pPr>
              <w:pStyle w:val="4"/>
              <w:keepNext w:val="0"/>
              <w:keepLines w:val="0"/>
              <w:widowControl/>
              <w:suppressLineNumbers w:val="0"/>
              <w:spacing w:before="0" w:beforeAutospacing="0" w:after="0" w:afterAutospacing="0" w:line="360" w:lineRule="atLeast"/>
              <w:ind w:left="0" w:right="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sz w:val="21"/>
                <w:szCs w:val="21"/>
              </w:rPr>
              <w:t>20</w:t>
            </w:r>
            <w:r>
              <w:rPr>
                <w:rFonts w:hint="eastAsia" w:ascii="宋体" w:hAnsi="宋体" w:eastAsia="宋体" w:cs="宋体"/>
                <w:sz w:val="21"/>
                <w:szCs w:val="21"/>
                <w:lang w:val="en-US" w:eastAsia="zh-CN"/>
              </w:rPr>
              <w:t>21</w:t>
            </w:r>
            <w:r>
              <w:rPr>
                <w:rFonts w:hint="eastAsia" w:ascii="宋体" w:hAnsi="宋体" w:eastAsia="宋体" w:cs="宋体"/>
                <w:sz w:val="21"/>
                <w:szCs w:val="21"/>
              </w:rPr>
              <w:t>年1月1日</w:t>
            </w:r>
            <w:r>
              <w:rPr>
                <w:rFonts w:hint="eastAsia" w:ascii="宋体" w:hAnsi="宋体" w:eastAsia="宋体" w:cs="宋体"/>
                <w:color w:val="auto"/>
                <w:sz w:val="21"/>
                <w:szCs w:val="21"/>
                <w:highlight w:val="none"/>
              </w:rPr>
              <w:t>以来</w:t>
            </w:r>
            <w:r>
              <w:rPr>
                <w:rFonts w:hint="eastAsia" w:ascii="宋体" w:hAnsi="宋体" w:eastAsia="宋体" w:cs="宋体"/>
                <w:color w:val="auto"/>
                <w:sz w:val="21"/>
                <w:szCs w:val="21"/>
                <w:highlight w:val="none"/>
                <w:lang w:eastAsia="zh-CN"/>
              </w:rPr>
              <w:t>（</w:t>
            </w:r>
            <w:r>
              <w:rPr>
                <w:rFonts w:hint="eastAsia" w:ascii="宋体" w:hAnsi="宋体" w:eastAsia="宋体" w:cs="宋体"/>
                <w:b/>
                <w:bCs/>
                <w:color w:val="auto"/>
                <w:sz w:val="21"/>
                <w:szCs w:val="21"/>
                <w:highlight w:val="none"/>
              </w:rPr>
              <w:t>以颁奖时间为准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征集响应</w:t>
            </w:r>
            <w:r>
              <w:rPr>
                <w:rFonts w:hint="eastAsia" w:ascii="宋体" w:hAnsi="宋体" w:eastAsia="宋体" w:cs="宋体"/>
                <w:color w:val="auto"/>
                <w:sz w:val="21"/>
                <w:szCs w:val="21"/>
                <w:highlight w:val="none"/>
              </w:rPr>
              <w:t>人或</w:t>
            </w:r>
            <w:r>
              <w:rPr>
                <w:rFonts w:hint="eastAsia" w:ascii="宋体" w:hAnsi="宋体" w:eastAsia="宋体" w:cs="宋体"/>
                <w:color w:val="auto"/>
                <w:sz w:val="21"/>
                <w:szCs w:val="21"/>
                <w:highlight w:val="none"/>
                <w:lang w:val="en-US" w:eastAsia="zh-CN"/>
              </w:rPr>
              <w:t>其员工</w:t>
            </w:r>
            <w:r>
              <w:rPr>
                <w:rFonts w:hint="eastAsia" w:ascii="宋体" w:hAnsi="宋体" w:eastAsia="宋体" w:cs="宋体"/>
                <w:color w:val="auto"/>
                <w:sz w:val="21"/>
                <w:szCs w:val="21"/>
                <w:highlight w:val="none"/>
              </w:rPr>
              <w:t>获得县级（区级）及以上行政主管部门或政府部门或国内依法登记注册的行业协会（或学会）颁发的荣誉或奖状或奖杯或表彰或称号的，每提供一个证明材料得</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分，本项满分</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5E24A70C">
            <w:pPr>
              <w:pStyle w:val="4"/>
              <w:keepNext w:val="0"/>
              <w:keepLines w:val="0"/>
              <w:widowControl/>
              <w:suppressLineNumbers w:val="0"/>
              <w:spacing w:before="0" w:beforeAutospacing="0" w:after="0" w:afterAutospacing="0" w:line="360" w:lineRule="atLeast"/>
              <w:ind w:left="0" w:right="0"/>
              <w:rPr>
                <w:rFonts w:hint="default"/>
                <w:color w:val="auto"/>
                <w:highlight w:val="none"/>
              </w:rPr>
            </w:pPr>
            <w:r>
              <w:rPr>
                <w:rFonts w:hint="eastAsia" w:ascii="宋体" w:hAnsi="宋体" w:eastAsia="宋体" w:cs="宋体"/>
                <w:b/>
                <w:bCs/>
                <w:color w:val="auto"/>
                <w:sz w:val="21"/>
                <w:szCs w:val="21"/>
                <w:highlight w:val="none"/>
              </w:rPr>
              <w:t>注：须同时提供以下材料：</w:t>
            </w:r>
          </w:p>
          <w:p w14:paraId="010FF348">
            <w:pPr>
              <w:pStyle w:val="4"/>
              <w:keepNext w:val="0"/>
              <w:keepLines w:val="0"/>
              <w:widowControl/>
              <w:numPr>
                <w:ilvl w:val="0"/>
                <w:numId w:val="1"/>
              </w:numPr>
              <w:suppressLineNumbers w:val="0"/>
              <w:spacing w:before="0" w:beforeAutospacing="0" w:after="0" w:afterAutospacing="0"/>
              <w:ind w:left="0" w:right="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须提供证明材料的复印件或扫描件并加盖</w:t>
            </w:r>
            <w:r>
              <w:rPr>
                <w:rFonts w:hint="eastAsia" w:ascii="宋体" w:hAnsi="宋体" w:eastAsia="宋体" w:cs="宋体"/>
                <w:b/>
                <w:bCs/>
                <w:color w:val="auto"/>
                <w:sz w:val="21"/>
                <w:szCs w:val="21"/>
                <w:highlight w:val="none"/>
                <w:lang w:val="en-US" w:eastAsia="zh-CN"/>
              </w:rPr>
              <w:t>征集响应</w:t>
            </w:r>
            <w:r>
              <w:rPr>
                <w:rFonts w:hint="eastAsia" w:ascii="宋体" w:hAnsi="宋体" w:eastAsia="宋体" w:cs="宋体"/>
                <w:b/>
                <w:bCs/>
                <w:color w:val="auto"/>
                <w:sz w:val="21"/>
                <w:szCs w:val="21"/>
                <w:highlight w:val="none"/>
              </w:rPr>
              <w:t>人公章放入</w:t>
            </w:r>
            <w:r>
              <w:rPr>
                <w:rFonts w:hint="eastAsia" w:ascii="宋体" w:hAnsi="宋体" w:eastAsia="宋体" w:cs="宋体"/>
                <w:b/>
                <w:bCs/>
                <w:color w:val="auto"/>
                <w:sz w:val="21"/>
                <w:szCs w:val="21"/>
                <w:highlight w:val="none"/>
                <w:lang w:val="en-US" w:eastAsia="zh-CN"/>
              </w:rPr>
              <w:t>征集响应</w:t>
            </w:r>
            <w:r>
              <w:rPr>
                <w:rFonts w:hint="eastAsia" w:ascii="宋体" w:hAnsi="宋体" w:eastAsia="宋体" w:cs="宋体"/>
                <w:b/>
                <w:bCs/>
                <w:color w:val="auto"/>
                <w:sz w:val="21"/>
                <w:szCs w:val="21"/>
                <w:highlight w:val="none"/>
              </w:rPr>
              <w:t>文件内；证明材料中若未体现评审因素须提供其他材料佐证，否则不得分。</w:t>
            </w:r>
          </w:p>
          <w:p w14:paraId="65209DFD">
            <w:pPr>
              <w:pStyle w:val="4"/>
              <w:keepNext w:val="0"/>
              <w:keepLines w:val="0"/>
              <w:widowControl/>
              <w:numPr>
                <w:ilvl w:val="0"/>
                <w:numId w:val="0"/>
              </w:numPr>
              <w:suppressLineNumbers w:val="0"/>
              <w:spacing w:before="0" w:beforeAutospacing="0" w:after="0" w:afterAutospacing="0"/>
              <w:ind w:left="0" w:right="0" w:rightChars="0"/>
              <w:jc w:val="left"/>
              <w:rPr>
                <w:rFonts w:hint="default"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w:t>
            </w:r>
            <w:r>
              <w:rPr>
                <w:rFonts w:hint="eastAsia" w:ascii="宋体" w:hAnsi="宋体" w:eastAsia="宋体" w:cs="宋体"/>
                <w:b/>
                <w:bCs/>
                <w:color w:val="auto"/>
                <w:sz w:val="21"/>
                <w:szCs w:val="21"/>
                <w:highlight w:val="none"/>
                <w:lang w:val="en-US" w:eastAsia="zh-CN"/>
              </w:rPr>
              <w:t>征集响应人</w:t>
            </w:r>
            <w:r>
              <w:rPr>
                <w:rFonts w:hint="default" w:ascii="宋体" w:hAnsi="宋体" w:eastAsia="宋体" w:cs="宋体"/>
                <w:b/>
                <w:bCs/>
                <w:color w:val="auto"/>
                <w:sz w:val="21"/>
                <w:szCs w:val="21"/>
                <w:highlight w:val="none"/>
              </w:rPr>
              <w:t>名称等信息发生过变更，以至于影响到上述业绩评审时，应提供供应商注册所在地市场监督管理部门出具的有效证明文件</w:t>
            </w:r>
            <w:r>
              <w:rPr>
                <w:rFonts w:hint="eastAsia" w:ascii="宋体" w:hAnsi="宋体" w:eastAsia="宋体" w:cs="宋体"/>
                <w:b/>
                <w:bCs/>
                <w:color w:val="auto"/>
                <w:sz w:val="21"/>
                <w:szCs w:val="21"/>
                <w:highlight w:val="none"/>
                <w:lang w:eastAsia="zh-CN"/>
              </w:rPr>
              <w:t>。</w:t>
            </w:r>
          </w:p>
          <w:p w14:paraId="7AFEA7C7">
            <w:pPr>
              <w:pStyle w:val="4"/>
              <w:keepNext w:val="0"/>
              <w:keepLines w:val="0"/>
              <w:widowControl/>
              <w:numPr>
                <w:ilvl w:val="0"/>
                <w:numId w:val="0"/>
              </w:numPr>
              <w:suppressLineNumbers w:val="0"/>
              <w:spacing w:before="0" w:beforeAutospacing="0" w:after="0" w:afterAutospacing="0"/>
              <w:ind w:left="0" w:right="0" w:rightChars="0"/>
              <w:jc w:val="left"/>
              <w:rPr>
                <w:rFonts w:hint="default" w:ascii="宋体" w:hAnsi="宋体" w:eastAsia="宋体" w:cs="宋体"/>
                <w:b/>
                <w:bCs/>
                <w:color w:val="auto"/>
                <w:sz w:val="21"/>
                <w:szCs w:val="21"/>
                <w:highlight w:val="none"/>
              </w:rPr>
            </w:pPr>
          </w:p>
          <w:p w14:paraId="2AF0266B">
            <w:pPr>
              <w:pStyle w:val="4"/>
              <w:keepNext w:val="0"/>
              <w:keepLines w:val="0"/>
              <w:widowControl/>
              <w:suppressLineNumbers w:val="0"/>
              <w:spacing w:before="0" w:beforeAutospacing="0" w:after="0" w:afterAutospacing="0"/>
              <w:ind w:left="0" w:right="0"/>
              <w:rPr>
                <w:rFonts w:hint="default"/>
                <w:color w:val="auto"/>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、在铜陵市行政区域内有设立简易工地实验室的得5分。 </w:t>
            </w:r>
          </w:p>
          <w:p w14:paraId="4192BCCD">
            <w:pPr>
              <w:pStyle w:val="4"/>
              <w:keepNext w:val="0"/>
              <w:keepLines w:val="0"/>
              <w:widowControl/>
              <w:suppressLineNumbers w:val="0"/>
              <w:spacing w:before="0" w:beforeAutospacing="0" w:after="0" w:afterAutospacing="0"/>
              <w:ind w:left="0" w:right="0"/>
              <w:rPr>
                <w:rFonts w:hint="default"/>
                <w:color w:val="auto"/>
                <w:highlight w:val="none"/>
              </w:rPr>
            </w:pPr>
            <w:r>
              <w:rPr>
                <w:rFonts w:hint="eastAsia" w:ascii="宋体" w:hAnsi="宋体" w:eastAsia="宋体" w:cs="宋体"/>
                <w:color w:val="auto"/>
                <w:sz w:val="21"/>
                <w:szCs w:val="21"/>
                <w:highlight w:val="none"/>
              </w:rPr>
              <w:t>注：</w:t>
            </w:r>
            <w:r>
              <w:rPr>
                <w:rFonts w:hint="eastAsia" w:ascii="宋体" w:hAnsi="宋体" w:eastAsia="宋体" w:cs="宋体"/>
                <w:b/>
                <w:bCs/>
                <w:color w:val="auto"/>
                <w:sz w:val="21"/>
                <w:szCs w:val="21"/>
                <w:highlight w:val="none"/>
              </w:rPr>
              <w:t>需提供实验室场所及设备照片。</w:t>
            </w:r>
            <w:r>
              <w:rPr>
                <w:rFonts w:hint="eastAsia" w:ascii="宋体" w:hAnsi="宋体" w:eastAsia="宋体" w:cs="宋体"/>
                <w:color w:val="auto"/>
                <w:sz w:val="21"/>
                <w:szCs w:val="21"/>
                <w:highlight w:val="none"/>
              </w:rPr>
              <w:t>（</w:t>
            </w:r>
            <w:r>
              <w:rPr>
                <w:rFonts w:hint="eastAsia" w:ascii="宋体" w:hAnsi="宋体" w:eastAsia="宋体" w:cs="宋体"/>
                <w:b/>
                <w:bCs/>
                <w:color w:val="auto"/>
                <w:sz w:val="21"/>
                <w:szCs w:val="21"/>
                <w:highlight w:val="none"/>
              </w:rPr>
              <w:t>入库后实地考察，如与提供资料不一致，取消入库资格</w:t>
            </w:r>
            <w:r>
              <w:rPr>
                <w:rFonts w:hint="eastAsia" w:ascii="宋体" w:hAnsi="宋体" w:eastAsia="宋体" w:cs="宋体"/>
                <w:color w:val="auto"/>
                <w:sz w:val="21"/>
                <w:szCs w:val="21"/>
                <w:highlight w:val="none"/>
              </w:rPr>
              <w:t>）</w:t>
            </w:r>
          </w:p>
        </w:tc>
      </w:tr>
      <w:tr w14:paraId="2AC3C01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1659" w:type="dxa"/>
            <w:tcBorders>
              <w:top w:val="nil"/>
              <w:left w:val="single" w:color="auto" w:sz="8" w:space="0"/>
              <w:bottom w:val="single" w:color="auto" w:sz="8" w:space="0"/>
              <w:right w:val="single" w:color="auto" w:sz="8" w:space="0"/>
            </w:tcBorders>
            <w:shd w:val="clear" w:color="auto" w:fill="auto"/>
            <w:vAlign w:val="center"/>
          </w:tcPr>
          <w:p w14:paraId="3EF6EC89">
            <w:pPr>
              <w:pStyle w:val="4"/>
              <w:keepNext w:val="0"/>
              <w:keepLines w:val="0"/>
              <w:widowControl/>
              <w:suppressLineNumbers w:val="0"/>
              <w:spacing w:before="0" w:beforeAutospacing="0" w:after="0" w:afterAutospacing="0"/>
              <w:ind w:left="0" w:right="0"/>
              <w:jc w:val="center"/>
              <w:rPr>
                <w:rFonts w:hint="default" w:eastAsia="宋体"/>
                <w:color w:val="auto"/>
                <w:highlight w:val="none"/>
                <w:lang w:val="en-US" w:eastAsia="zh-CN"/>
              </w:rPr>
            </w:pPr>
            <w:r>
              <w:rPr>
                <w:rFonts w:hint="eastAsia" w:ascii="宋体" w:hAnsi="宋体" w:eastAsia="宋体" w:cs="宋体"/>
                <w:color w:val="auto"/>
                <w:sz w:val="21"/>
                <w:szCs w:val="21"/>
                <w:highlight w:val="none"/>
              </w:rPr>
              <w:t>企业业绩</w:t>
            </w:r>
          </w:p>
        </w:tc>
        <w:tc>
          <w:tcPr>
            <w:tcW w:w="992" w:type="dxa"/>
            <w:tcBorders>
              <w:top w:val="nil"/>
              <w:left w:val="nil"/>
              <w:bottom w:val="single" w:color="auto" w:sz="8" w:space="0"/>
              <w:right w:val="single" w:color="auto" w:sz="8" w:space="0"/>
            </w:tcBorders>
            <w:shd w:val="clear" w:color="auto" w:fill="auto"/>
            <w:vAlign w:val="center"/>
          </w:tcPr>
          <w:p w14:paraId="6AACA860">
            <w:pPr>
              <w:pStyle w:val="4"/>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分</w:t>
            </w:r>
          </w:p>
        </w:tc>
        <w:tc>
          <w:tcPr>
            <w:tcW w:w="6421" w:type="dxa"/>
            <w:tcBorders>
              <w:top w:val="nil"/>
              <w:left w:val="nil"/>
              <w:bottom w:val="single" w:color="auto" w:sz="8" w:space="0"/>
              <w:right w:val="single" w:color="auto" w:sz="8" w:space="0"/>
            </w:tcBorders>
            <w:shd w:val="clear" w:color="auto" w:fill="auto"/>
            <w:tcMar>
              <w:left w:w="85" w:type="dxa"/>
              <w:right w:w="85" w:type="dxa"/>
            </w:tcMar>
            <w:vAlign w:val="center"/>
          </w:tcPr>
          <w:p w14:paraId="53936A0E">
            <w:pPr>
              <w:pStyle w:val="4"/>
              <w:keepNext w:val="0"/>
              <w:keepLines w:val="0"/>
              <w:widowControl/>
              <w:suppressLineNumbers w:val="0"/>
              <w:spacing w:before="0" w:beforeAutospacing="0" w:after="0" w:afterAutospacing="0" w:line="360" w:lineRule="atLeast"/>
              <w:ind w:left="0" w:right="0"/>
              <w:rPr>
                <w:rFonts w:hint="default"/>
                <w:color w:val="auto"/>
                <w:highlight w:val="none"/>
              </w:rPr>
            </w:pPr>
            <w:r>
              <w:rPr>
                <w:rFonts w:hint="eastAsia" w:ascii="宋体" w:hAnsi="宋体" w:eastAsia="宋体" w:cs="宋体"/>
                <w:color w:val="auto"/>
                <w:sz w:val="21"/>
                <w:szCs w:val="21"/>
                <w:highlight w:val="none"/>
              </w:rPr>
              <w:t>2021年1月1日以来</w:t>
            </w:r>
            <w:r>
              <w:rPr>
                <w:rFonts w:hint="eastAsia" w:ascii="宋体" w:hAnsi="宋体" w:eastAsia="宋体" w:cs="宋体"/>
                <w:b/>
                <w:bCs/>
                <w:color w:val="auto"/>
                <w:sz w:val="21"/>
                <w:szCs w:val="21"/>
                <w:highlight w:val="none"/>
              </w:rPr>
              <w:t>（以合同签订时间为准）</w:t>
            </w:r>
            <w:r>
              <w:rPr>
                <w:rFonts w:hint="eastAsia" w:ascii="宋体" w:hAnsi="宋体" w:eastAsia="宋体" w:cs="宋体"/>
                <w:color w:val="auto"/>
                <w:sz w:val="21"/>
                <w:szCs w:val="21"/>
                <w:highlight w:val="none"/>
              </w:rPr>
              <w:t>，征集响应人具有单个检测合同金额不少于20万元的房建或市政工程第三方检测业绩（施工单位自检项目除外），每个得</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分，本项满分</w:t>
            </w: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分。</w:t>
            </w:r>
          </w:p>
          <w:p w14:paraId="2E51800D">
            <w:pPr>
              <w:pStyle w:val="4"/>
              <w:keepNext w:val="0"/>
              <w:keepLines w:val="0"/>
              <w:widowControl/>
              <w:suppressLineNumbers w:val="0"/>
              <w:spacing w:before="0" w:beforeAutospacing="0" w:after="0" w:afterAutospacing="0" w:line="360" w:lineRule="atLeast"/>
              <w:ind w:left="0" w:right="0"/>
              <w:rPr>
                <w:rFonts w:hint="default"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注：提供业绩合同复印件或扫描件并加盖</w:t>
            </w:r>
            <w:r>
              <w:rPr>
                <w:rFonts w:hint="eastAsia" w:ascii="宋体" w:hAnsi="宋体" w:eastAsia="宋体" w:cs="宋体"/>
                <w:b/>
                <w:bCs/>
                <w:color w:val="auto"/>
                <w:sz w:val="21"/>
                <w:szCs w:val="21"/>
                <w:highlight w:val="none"/>
                <w:lang w:val="en-US" w:eastAsia="zh-CN"/>
              </w:rPr>
              <w:t>征集响应</w:t>
            </w:r>
            <w:r>
              <w:rPr>
                <w:rFonts w:hint="eastAsia" w:ascii="宋体" w:hAnsi="宋体" w:eastAsia="宋体" w:cs="宋体"/>
                <w:b/>
                <w:bCs/>
                <w:color w:val="auto"/>
                <w:sz w:val="21"/>
                <w:szCs w:val="21"/>
                <w:highlight w:val="none"/>
              </w:rPr>
              <w:t>人公章放入</w:t>
            </w:r>
            <w:r>
              <w:rPr>
                <w:rFonts w:hint="eastAsia" w:ascii="宋体" w:hAnsi="宋体" w:eastAsia="宋体" w:cs="宋体"/>
                <w:b/>
                <w:bCs/>
                <w:color w:val="auto"/>
                <w:sz w:val="21"/>
                <w:szCs w:val="21"/>
                <w:highlight w:val="none"/>
                <w:lang w:val="en-US" w:eastAsia="zh-CN"/>
              </w:rPr>
              <w:t>征集响应</w:t>
            </w:r>
            <w:r>
              <w:rPr>
                <w:rFonts w:hint="eastAsia" w:ascii="宋体" w:hAnsi="宋体" w:eastAsia="宋体" w:cs="宋体"/>
                <w:b/>
                <w:bCs/>
                <w:color w:val="auto"/>
                <w:sz w:val="21"/>
                <w:szCs w:val="21"/>
                <w:highlight w:val="none"/>
              </w:rPr>
              <w:t>文件中，同一项目不同时间段只计一次分；若合同中未清楚的反映业绩评审因素，须同时提供业主出具的相关证明材料佐证。证明材料的业主盖章信息与合同盖章信息须一致；业绩证明材料提供不全的，相应评审指标不得分。</w:t>
            </w:r>
          </w:p>
        </w:tc>
      </w:tr>
      <w:tr w14:paraId="044E9FC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1659" w:type="dxa"/>
            <w:tcBorders>
              <w:top w:val="nil"/>
              <w:left w:val="single" w:color="auto" w:sz="8" w:space="0"/>
              <w:bottom w:val="single" w:color="auto" w:sz="8" w:space="0"/>
              <w:right w:val="single" w:color="auto" w:sz="8" w:space="0"/>
            </w:tcBorders>
            <w:shd w:val="clear" w:color="auto" w:fill="auto"/>
            <w:vAlign w:val="center"/>
          </w:tcPr>
          <w:p w14:paraId="756033DF">
            <w:pPr>
              <w:pStyle w:val="4"/>
              <w:keepNext w:val="0"/>
              <w:keepLines w:val="0"/>
              <w:widowControl/>
              <w:suppressLineNumbers w:val="0"/>
              <w:spacing w:before="0" w:beforeAutospacing="0" w:after="0" w:afterAutospacing="0"/>
              <w:ind w:left="0" w:leftChars="0" w:right="0" w:rightChars="0"/>
              <w:jc w:val="center"/>
              <w:rPr>
                <w:rFonts w:hint="eastAsia" w:eastAsia="宋体" w:cs="Times New Roman" w:asciiTheme="minorHAnsi" w:hAnsiTheme="minorHAnsi"/>
                <w:color w:val="auto"/>
                <w:kern w:val="0"/>
                <w:sz w:val="24"/>
                <w:szCs w:val="24"/>
                <w:highlight w:val="none"/>
                <w:lang w:val="en-US" w:eastAsia="zh-CN" w:bidi="ar-SA"/>
              </w:rPr>
            </w:pPr>
            <w:r>
              <w:rPr>
                <w:rFonts w:hint="eastAsia" w:ascii="宋体" w:hAnsi="宋体" w:eastAsia="宋体" w:cs="宋体"/>
                <w:color w:val="auto"/>
                <w:sz w:val="21"/>
                <w:szCs w:val="21"/>
                <w:highlight w:val="none"/>
                <w:lang w:val="en-US" w:eastAsia="zh-CN"/>
              </w:rPr>
              <w:t>项目负责人业绩</w:t>
            </w:r>
          </w:p>
        </w:tc>
        <w:tc>
          <w:tcPr>
            <w:tcW w:w="992" w:type="dxa"/>
            <w:tcBorders>
              <w:top w:val="nil"/>
              <w:left w:val="nil"/>
              <w:bottom w:val="single" w:color="auto" w:sz="8" w:space="0"/>
              <w:right w:val="single" w:color="auto" w:sz="8" w:space="0"/>
            </w:tcBorders>
            <w:shd w:val="clear" w:color="auto" w:fill="auto"/>
            <w:vAlign w:val="center"/>
          </w:tcPr>
          <w:p w14:paraId="07B9B9A1">
            <w:pPr>
              <w:pStyle w:val="4"/>
              <w:keepNext w:val="0"/>
              <w:keepLines w:val="0"/>
              <w:widowControl/>
              <w:suppressLineNumbers w:val="0"/>
              <w:spacing w:before="0" w:beforeAutospacing="0" w:after="0" w:afterAutospacing="0"/>
              <w:ind w:left="0" w:leftChars="0" w:right="0" w:rightChars="0"/>
              <w:jc w:val="center"/>
              <w:rPr>
                <w:rFonts w:hint="eastAsia" w:cs="Times New Roman" w:asciiTheme="minorHAnsi" w:hAnsiTheme="minorHAnsi" w:eastAsiaTheme="minorEastAsia"/>
                <w:color w:val="auto"/>
                <w:kern w:val="0"/>
                <w:sz w:val="24"/>
                <w:szCs w:val="24"/>
                <w:highlight w:val="none"/>
                <w:lang w:val="en-US" w:eastAsia="zh-CN" w:bidi="ar-SA"/>
              </w:rPr>
            </w:pPr>
            <w:r>
              <w:rPr>
                <w:rFonts w:hint="eastAsia" w:ascii="宋体" w:hAnsi="宋体" w:eastAsia="宋体" w:cs="宋体"/>
                <w:color w:val="auto"/>
                <w:sz w:val="21"/>
                <w:szCs w:val="21"/>
                <w:highlight w:val="none"/>
                <w:lang w:val="en-US" w:eastAsia="zh-CN"/>
              </w:rPr>
              <w:t>12</w:t>
            </w:r>
            <w:r>
              <w:rPr>
                <w:rFonts w:hint="eastAsia" w:ascii="宋体" w:hAnsi="宋体" w:eastAsia="宋体" w:cs="宋体"/>
                <w:color w:val="auto"/>
                <w:sz w:val="21"/>
                <w:szCs w:val="21"/>
                <w:highlight w:val="none"/>
              </w:rPr>
              <w:t>分</w:t>
            </w:r>
          </w:p>
        </w:tc>
        <w:tc>
          <w:tcPr>
            <w:tcW w:w="6421" w:type="dxa"/>
            <w:tcBorders>
              <w:top w:val="nil"/>
              <w:left w:val="nil"/>
              <w:bottom w:val="single" w:color="auto" w:sz="8" w:space="0"/>
              <w:right w:val="single" w:color="auto" w:sz="8" w:space="0"/>
            </w:tcBorders>
            <w:shd w:val="clear" w:color="auto" w:fill="auto"/>
            <w:tcMar>
              <w:left w:w="85" w:type="dxa"/>
              <w:right w:w="85" w:type="dxa"/>
            </w:tcMar>
            <w:vAlign w:val="center"/>
          </w:tcPr>
          <w:p w14:paraId="028976C5">
            <w:pPr>
              <w:pStyle w:val="4"/>
              <w:keepNext w:val="0"/>
              <w:keepLines w:val="0"/>
              <w:widowControl/>
              <w:suppressLineNumbers w:val="0"/>
              <w:spacing w:before="0" w:beforeAutospacing="0" w:after="0" w:afterAutospacing="0" w:line="360" w:lineRule="atLeast"/>
              <w:ind w:left="0" w:right="0"/>
              <w:rPr>
                <w:rFonts w:hint="default" w:ascii="宋体" w:hAnsi="宋体" w:eastAsia="宋体" w:cs="宋体"/>
                <w:b w:val="0"/>
                <w:bCs w:val="0"/>
                <w:color w:val="auto"/>
                <w:sz w:val="21"/>
                <w:szCs w:val="21"/>
                <w:highlight w:val="none"/>
              </w:rPr>
            </w:pPr>
            <w:r>
              <w:rPr>
                <w:rFonts w:hint="eastAsia" w:ascii="宋体" w:hAnsi="宋体" w:eastAsia="宋体" w:cs="宋体"/>
                <w:color w:val="auto"/>
                <w:sz w:val="21"/>
                <w:szCs w:val="21"/>
                <w:highlight w:val="none"/>
              </w:rPr>
              <w:t>2021年1月1日以来</w:t>
            </w:r>
            <w:r>
              <w:rPr>
                <w:rFonts w:hint="eastAsia" w:ascii="宋体" w:hAnsi="宋体" w:eastAsia="宋体" w:cs="宋体"/>
                <w:b/>
                <w:bCs/>
                <w:color w:val="auto"/>
                <w:sz w:val="21"/>
                <w:szCs w:val="21"/>
                <w:highlight w:val="none"/>
              </w:rPr>
              <w:t>（以合同签订时间为准）</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征集响应</w:t>
            </w:r>
            <w:r>
              <w:rPr>
                <w:rFonts w:hint="eastAsia" w:ascii="宋体" w:hAnsi="宋体" w:eastAsia="宋体" w:cs="宋体"/>
                <w:color w:val="auto"/>
                <w:sz w:val="21"/>
                <w:szCs w:val="21"/>
                <w:highlight w:val="none"/>
              </w:rPr>
              <w:t>人</w:t>
            </w:r>
            <w:r>
              <w:rPr>
                <w:rFonts w:hint="default" w:ascii="宋体" w:hAnsi="宋体" w:eastAsia="宋体" w:cs="宋体"/>
                <w:b w:val="0"/>
                <w:bCs w:val="0"/>
                <w:color w:val="auto"/>
                <w:sz w:val="21"/>
                <w:szCs w:val="21"/>
                <w:highlight w:val="none"/>
              </w:rPr>
              <w:t>拟派项目负责人具有工程检测业绩的（</w:t>
            </w:r>
            <w:r>
              <w:rPr>
                <w:rFonts w:hint="eastAsia" w:ascii="宋体" w:hAnsi="宋体" w:eastAsia="宋体" w:cs="宋体"/>
                <w:color w:val="auto"/>
                <w:sz w:val="21"/>
                <w:szCs w:val="21"/>
                <w:highlight w:val="none"/>
              </w:rPr>
              <w:t>施工单位自检项目除外</w:t>
            </w:r>
            <w:r>
              <w:rPr>
                <w:rFonts w:hint="default" w:ascii="宋体" w:hAnsi="宋体" w:eastAsia="宋体" w:cs="宋体"/>
                <w:b w:val="0"/>
                <w:bCs w:val="0"/>
                <w:color w:val="auto"/>
                <w:sz w:val="21"/>
                <w:szCs w:val="21"/>
                <w:highlight w:val="none"/>
              </w:rPr>
              <w:t>），每提供一个合同的得</w:t>
            </w:r>
            <w:r>
              <w:rPr>
                <w:rFonts w:hint="eastAsia" w:ascii="宋体" w:hAnsi="宋体" w:eastAsia="宋体" w:cs="宋体"/>
                <w:b w:val="0"/>
                <w:bCs w:val="0"/>
                <w:color w:val="auto"/>
                <w:sz w:val="21"/>
                <w:szCs w:val="21"/>
                <w:highlight w:val="none"/>
                <w:lang w:val="en-US" w:eastAsia="zh-CN"/>
              </w:rPr>
              <w:t>3</w:t>
            </w:r>
            <w:r>
              <w:rPr>
                <w:rFonts w:hint="default" w:ascii="宋体" w:hAnsi="宋体" w:eastAsia="宋体" w:cs="宋体"/>
                <w:b w:val="0"/>
                <w:bCs w:val="0"/>
                <w:color w:val="auto"/>
                <w:sz w:val="21"/>
                <w:szCs w:val="21"/>
                <w:highlight w:val="none"/>
              </w:rPr>
              <w:t>分，最高</w:t>
            </w:r>
            <w:r>
              <w:rPr>
                <w:rFonts w:hint="eastAsia" w:ascii="宋体" w:hAnsi="宋体" w:eastAsia="宋体" w:cs="宋体"/>
                <w:b w:val="0"/>
                <w:bCs w:val="0"/>
                <w:color w:val="auto"/>
                <w:sz w:val="21"/>
                <w:szCs w:val="21"/>
                <w:highlight w:val="none"/>
                <w:lang w:val="en-US" w:eastAsia="zh-CN"/>
              </w:rPr>
              <w:t>12</w:t>
            </w:r>
            <w:r>
              <w:rPr>
                <w:rFonts w:hint="default" w:ascii="宋体" w:hAnsi="宋体" w:eastAsia="宋体" w:cs="宋体"/>
                <w:b w:val="0"/>
                <w:bCs w:val="0"/>
                <w:color w:val="auto"/>
                <w:sz w:val="21"/>
                <w:szCs w:val="21"/>
                <w:highlight w:val="none"/>
              </w:rPr>
              <w:t>分。</w:t>
            </w:r>
          </w:p>
          <w:p w14:paraId="21C2FA67">
            <w:pPr>
              <w:pStyle w:val="4"/>
              <w:keepNext w:val="0"/>
              <w:keepLines w:val="0"/>
              <w:widowControl/>
              <w:suppressLineNumbers w:val="0"/>
              <w:spacing w:before="0" w:beforeAutospacing="0" w:after="0" w:afterAutospacing="0" w:line="360" w:lineRule="atLeast"/>
              <w:ind w:left="0" w:right="0"/>
              <w:rPr>
                <w:rFonts w:hint="eastAsia" w:ascii="宋体" w:hAnsi="宋体" w:eastAsia="宋体" w:cs="宋体"/>
                <w:b/>
                <w:bCs/>
                <w:color w:val="auto"/>
                <w:sz w:val="21"/>
                <w:szCs w:val="21"/>
                <w:highlight w:val="none"/>
                <w:lang w:eastAsia="zh-CN"/>
              </w:rPr>
            </w:pPr>
            <w:r>
              <w:rPr>
                <w:rFonts w:hint="default" w:ascii="宋体" w:hAnsi="宋体" w:eastAsia="宋体" w:cs="宋体"/>
                <w:b/>
                <w:bCs/>
                <w:color w:val="auto"/>
                <w:sz w:val="21"/>
                <w:szCs w:val="21"/>
                <w:highlight w:val="none"/>
              </w:rPr>
              <w:t>注：</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lang w:eastAsia="zh-CN"/>
              </w:rPr>
              <w:t>）</w:t>
            </w:r>
            <w:r>
              <w:rPr>
                <w:rFonts w:hint="default" w:ascii="宋体" w:hAnsi="宋体" w:eastAsia="宋体" w:cs="宋体"/>
                <w:b/>
                <w:bCs/>
                <w:color w:val="auto"/>
                <w:sz w:val="21"/>
                <w:szCs w:val="21"/>
                <w:highlight w:val="none"/>
              </w:rPr>
              <w:t>提供业绩合同复印件或扫描件并加盖</w:t>
            </w:r>
            <w:r>
              <w:rPr>
                <w:rFonts w:hint="eastAsia" w:ascii="宋体" w:hAnsi="宋体" w:eastAsia="宋体" w:cs="宋体"/>
                <w:b/>
                <w:bCs/>
                <w:color w:val="auto"/>
                <w:sz w:val="21"/>
                <w:szCs w:val="21"/>
                <w:highlight w:val="none"/>
                <w:lang w:val="en-US" w:eastAsia="zh-CN"/>
              </w:rPr>
              <w:t>征集响应</w:t>
            </w:r>
            <w:r>
              <w:rPr>
                <w:rFonts w:hint="eastAsia" w:ascii="宋体" w:hAnsi="宋体" w:eastAsia="宋体" w:cs="宋体"/>
                <w:b/>
                <w:bCs/>
                <w:color w:val="auto"/>
                <w:sz w:val="21"/>
                <w:szCs w:val="21"/>
                <w:highlight w:val="none"/>
              </w:rPr>
              <w:t>人</w:t>
            </w:r>
            <w:r>
              <w:rPr>
                <w:rFonts w:hint="default" w:ascii="宋体" w:hAnsi="宋体" w:eastAsia="宋体" w:cs="宋体"/>
                <w:b/>
                <w:bCs/>
                <w:color w:val="auto"/>
                <w:sz w:val="21"/>
                <w:szCs w:val="21"/>
                <w:highlight w:val="none"/>
              </w:rPr>
              <w:t>公章放入</w:t>
            </w:r>
            <w:r>
              <w:rPr>
                <w:rFonts w:hint="eastAsia" w:ascii="宋体" w:hAnsi="宋体" w:eastAsia="宋体" w:cs="宋体"/>
                <w:b/>
                <w:bCs/>
                <w:color w:val="auto"/>
                <w:sz w:val="21"/>
                <w:szCs w:val="21"/>
                <w:highlight w:val="none"/>
                <w:lang w:val="en-US" w:eastAsia="zh-CN"/>
              </w:rPr>
              <w:t>征集响应</w:t>
            </w:r>
            <w:r>
              <w:rPr>
                <w:rFonts w:hint="default" w:ascii="宋体" w:hAnsi="宋体" w:eastAsia="宋体" w:cs="宋体"/>
                <w:b/>
                <w:bCs/>
                <w:color w:val="auto"/>
                <w:sz w:val="21"/>
                <w:szCs w:val="21"/>
                <w:highlight w:val="none"/>
              </w:rPr>
              <w:t>文件中，同一项目不同时间段只计一次分；若合同中未清楚的反映业绩评审因素，须同时提供中标（成交）通知书或业主出具的相关证明材料佐证，证明材料的业主盖章信息与合同盖章信息须一致；</w:t>
            </w:r>
            <w:r>
              <w:rPr>
                <w:rFonts w:hint="eastAsia" w:ascii="宋体" w:hAnsi="宋体" w:eastAsia="宋体" w:cs="宋体"/>
                <w:b/>
                <w:bCs/>
                <w:color w:val="auto"/>
                <w:sz w:val="21"/>
                <w:szCs w:val="21"/>
                <w:highlight w:val="none"/>
              </w:rPr>
              <w:t>业绩证明材料提供不全的，相应评审指标不得分</w:t>
            </w:r>
            <w:r>
              <w:rPr>
                <w:rFonts w:hint="eastAsia" w:ascii="宋体" w:hAnsi="宋体" w:eastAsia="宋体" w:cs="宋体"/>
                <w:b/>
                <w:bCs/>
                <w:color w:val="auto"/>
                <w:sz w:val="21"/>
                <w:szCs w:val="21"/>
                <w:highlight w:val="none"/>
                <w:lang w:eastAsia="zh-CN"/>
              </w:rPr>
              <w:t>；</w:t>
            </w:r>
          </w:p>
          <w:p w14:paraId="0B9A7877">
            <w:pPr>
              <w:pStyle w:val="4"/>
              <w:keepNext w:val="0"/>
              <w:keepLines w:val="0"/>
              <w:widowControl/>
              <w:suppressLineNumbers w:val="0"/>
              <w:spacing w:before="0" w:beforeAutospacing="0" w:after="0" w:afterAutospacing="0" w:line="360" w:lineRule="atLeast"/>
              <w:ind w:left="0" w:leftChars="0" w:right="0" w:rightChars="0"/>
              <w:rPr>
                <w:rFonts w:hint="default"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eastAsia="zh-CN"/>
              </w:rPr>
              <w:t>）</w:t>
            </w:r>
            <w:r>
              <w:rPr>
                <w:rFonts w:hint="default" w:ascii="宋体" w:hAnsi="宋体" w:eastAsia="宋体" w:cs="宋体"/>
                <w:b/>
                <w:bCs/>
                <w:color w:val="auto"/>
                <w:sz w:val="21"/>
                <w:szCs w:val="21"/>
                <w:highlight w:val="none"/>
              </w:rPr>
              <w:t>项目负责人业绩可与</w:t>
            </w:r>
            <w:r>
              <w:rPr>
                <w:rFonts w:hint="eastAsia" w:ascii="宋体" w:hAnsi="宋体" w:eastAsia="宋体" w:cs="宋体"/>
                <w:b/>
                <w:bCs/>
                <w:color w:val="auto"/>
                <w:sz w:val="21"/>
                <w:szCs w:val="21"/>
                <w:highlight w:val="none"/>
                <w:lang w:val="en-US" w:eastAsia="zh-CN"/>
              </w:rPr>
              <w:t>征集响应</w:t>
            </w:r>
            <w:r>
              <w:rPr>
                <w:rFonts w:hint="eastAsia" w:ascii="宋体" w:hAnsi="宋体" w:eastAsia="宋体" w:cs="宋体"/>
                <w:b/>
                <w:bCs/>
                <w:color w:val="auto"/>
                <w:sz w:val="21"/>
                <w:szCs w:val="21"/>
                <w:highlight w:val="none"/>
              </w:rPr>
              <w:t>人</w:t>
            </w:r>
            <w:r>
              <w:rPr>
                <w:rFonts w:hint="default" w:ascii="宋体" w:hAnsi="宋体" w:eastAsia="宋体" w:cs="宋体"/>
                <w:b/>
                <w:bCs/>
                <w:color w:val="auto"/>
                <w:sz w:val="21"/>
                <w:szCs w:val="21"/>
                <w:highlight w:val="none"/>
              </w:rPr>
              <w:t>业绩重复得分。</w:t>
            </w:r>
          </w:p>
        </w:tc>
      </w:tr>
      <w:tr w14:paraId="4C9459C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1659" w:type="dxa"/>
            <w:tcBorders>
              <w:top w:val="nil"/>
              <w:left w:val="single" w:color="auto" w:sz="8" w:space="0"/>
              <w:bottom w:val="single" w:color="auto" w:sz="8" w:space="0"/>
              <w:right w:val="single" w:color="auto" w:sz="8" w:space="0"/>
            </w:tcBorders>
            <w:shd w:val="clear" w:color="auto" w:fill="auto"/>
            <w:vAlign w:val="center"/>
          </w:tcPr>
          <w:p w14:paraId="3282C4FE">
            <w:pPr>
              <w:pStyle w:val="4"/>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宋体" w:hAnsi="宋体" w:eastAsia="宋体" w:cs="宋体"/>
                <w:color w:val="auto"/>
                <w:sz w:val="21"/>
                <w:szCs w:val="21"/>
                <w:highlight w:val="none"/>
              </w:rPr>
              <w:t>组织机构及人员配置</w:t>
            </w:r>
          </w:p>
        </w:tc>
        <w:tc>
          <w:tcPr>
            <w:tcW w:w="992" w:type="dxa"/>
            <w:tcBorders>
              <w:top w:val="nil"/>
              <w:left w:val="nil"/>
              <w:bottom w:val="single" w:color="auto" w:sz="8" w:space="0"/>
              <w:right w:val="single" w:color="auto" w:sz="8" w:space="0"/>
            </w:tcBorders>
            <w:shd w:val="clear" w:color="auto" w:fill="auto"/>
            <w:vAlign w:val="center"/>
          </w:tcPr>
          <w:p w14:paraId="041DD1B5">
            <w:pPr>
              <w:pStyle w:val="4"/>
              <w:keepNext w:val="0"/>
              <w:keepLines w:val="0"/>
              <w:widowControl/>
              <w:suppressLineNumbers w:val="0"/>
              <w:spacing w:before="0" w:beforeAutospacing="0" w:after="0" w:afterAutospacing="0"/>
              <w:ind w:left="0" w:right="0"/>
              <w:jc w:val="center"/>
              <w:rPr>
                <w:rFonts w:hint="default" w:eastAsiaTheme="minorEastAsia"/>
                <w:color w:val="auto"/>
                <w:highlight w:val="none"/>
                <w:lang w:val="en-US" w:eastAsia="zh-CN"/>
              </w:rPr>
            </w:pPr>
            <w:r>
              <w:rPr>
                <w:rFonts w:hint="eastAsia" w:ascii="宋体" w:hAnsi="宋体" w:eastAsia="宋体" w:cs="宋体"/>
                <w:color w:val="auto"/>
                <w:sz w:val="21"/>
                <w:szCs w:val="21"/>
                <w:highlight w:val="none"/>
                <w:lang w:val="en-US" w:eastAsia="zh-CN"/>
              </w:rPr>
              <w:t>21</w:t>
            </w:r>
          </w:p>
        </w:tc>
        <w:tc>
          <w:tcPr>
            <w:tcW w:w="6421" w:type="dxa"/>
            <w:tcBorders>
              <w:top w:val="nil"/>
              <w:left w:val="nil"/>
              <w:bottom w:val="single" w:color="auto" w:sz="8" w:space="0"/>
              <w:right w:val="single" w:color="auto" w:sz="8" w:space="0"/>
            </w:tcBorders>
            <w:shd w:val="clear" w:color="auto" w:fill="auto"/>
            <w:tcMar>
              <w:left w:w="85" w:type="dxa"/>
              <w:right w:w="85" w:type="dxa"/>
            </w:tcMar>
            <w:vAlign w:val="center"/>
          </w:tcPr>
          <w:p w14:paraId="6A0005B8">
            <w:pPr>
              <w:pStyle w:val="4"/>
              <w:keepNext w:val="0"/>
              <w:keepLines w:val="0"/>
              <w:widowControl/>
              <w:numPr>
                <w:ilvl w:val="0"/>
                <w:numId w:val="0"/>
              </w:numPr>
              <w:suppressLineNumbers w:val="0"/>
              <w:spacing w:before="0" w:beforeAutospacing="0" w:after="0" w:afterAutospacing="0" w:line="360" w:lineRule="atLeast"/>
              <w:ind w:left="0" w:leftChars="0" w:right="0" w:right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拟派项目负责人具有建筑工程或市政公用工程专业高级技术职称资格的得</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分，满分</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p w14:paraId="306807CD">
            <w:pPr>
              <w:pStyle w:val="4"/>
              <w:keepNext w:val="0"/>
              <w:keepLines w:val="0"/>
              <w:widowControl/>
              <w:numPr>
                <w:ilvl w:val="0"/>
                <w:numId w:val="0"/>
              </w:numPr>
              <w:suppressLineNumbers w:val="0"/>
              <w:spacing w:before="0" w:beforeAutospacing="0" w:after="0" w:afterAutospacing="0" w:line="360" w:lineRule="atLeast"/>
              <w:ind w:left="0" w:leftChars="0" w:right="0" w:rightChars="0"/>
              <w:rPr>
                <w:rFonts w:hint="default"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default" w:ascii="宋体" w:hAnsi="宋体" w:eastAsia="宋体" w:cs="宋体"/>
                <w:color w:val="auto"/>
                <w:sz w:val="21"/>
                <w:szCs w:val="21"/>
                <w:highlight w:val="none"/>
              </w:rPr>
              <w:t>项目组成员中具有检测专业人员岗位证书的，每提供一个的得2分，满分8分。</w:t>
            </w:r>
          </w:p>
          <w:p w14:paraId="0D1D76C9">
            <w:pPr>
              <w:pStyle w:val="4"/>
              <w:keepNext w:val="0"/>
              <w:keepLines w:val="0"/>
              <w:widowControl/>
              <w:numPr>
                <w:ilvl w:val="0"/>
                <w:numId w:val="0"/>
              </w:numPr>
              <w:suppressLineNumbers w:val="0"/>
              <w:spacing w:before="0" w:beforeAutospacing="0" w:after="0" w:afterAutospacing="0" w:line="360" w:lineRule="atLeast"/>
              <w:ind w:left="0" w:leftChars="0" w:right="0" w:right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项目组人员中</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除项目负责人外</w:t>
            </w:r>
            <w:r>
              <w:rPr>
                <w:rFonts w:hint="eastAsia" w:ascii="宋体" w:hAnsi="宋体" w:eastAsia="宋体" w:cs="宋体"/>
                <w:b/>
                <w:bCs/>
                <w:color w:val="auto"/>
                <w:sz w:val="21"/>
                <w:szCs w:val="21"/>
                <w:highlight w:val="none"/>
                <w:lang w:eastAsia="zh-CN"/>
              </w:rPr>
              <w:t>）</w:t>
            </w:r>
            <w:r>
              <w:rPr>
                <w:rFonts w:hint="eastAsia" w:ascii="宋体" w:hAnsi="宋体" w:eastAsia="宋体" w:cs="宋体"/>
                <w:color w:val="auto"/>
                <w:sz w:val="21"/>
                <w:szCs w:val="21"/>
                <w:highlight w:val="none"/>
              </w:rPr>
              <w:t>每具有建筑工程或市政公用工程专业中级职称的得</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分，满分</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分。</w:t>
            </w:r>
          </w:p>
          <w:p w14:paraId="1108D111">
            <w:pPr>
              <w:pStyle w:val="4"/>
              <w:keepNext w:val="0"/>
              <w:keepLines w:val="0"/>
              <w:widowControl/>
              <w:numPr>
                <w:ilvl w:val="0"/>
                <w:numId w:val="0"/>
              </w:numPr>
              <w:suppressLineNumbers w:val="0"/>
              <w:spacing w:before="0" w:beforeAutospacing="0" w:after="0" w:afterAutospacing="0" w:line="360" w:lineRule="atLeast"/>
              <w:ind w:left="0" w:leftChars="0" w:right="0" w:rightChars="0"/>
              <w:rPr>
                <w:rFonts w:hint="default" w:ascii="宋体" w:hAnsi="宋体" w:eastAsia="宋体" w:cs="宋体"/>
                <w:b/>
                <w:bCs/>
                <w:color w:val="auto"/>
                <w:sz w:val="21"/>
                <w:szCs w:val="21"/>
                <w:highlight w:val="none"/>
              </w:rPr>
            </w:pPr>
            <w:r>
              <w:rPr>
                <w:rFonts w:hint="default" w:ascii="宋体" w:hAnsi="宋体" w:eastAsia="宋体" w:cs="宋体"/>
                <w:b/>
                <w:bCs/>
                <w:color w:val="auto"/>
                <w:sz w:val="21"/>
                <w:szCs w:val="21"/>
                <w:highlight w:val="none"/>
              </w:rPr>
              <w:t>注：</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lang w:eastAsia="zh-CN"/>
              </w:rPr>
              <w:t>）</w:t>
            </w:r>
            <w:r>
              <w:rPr>
                <w:rFonts w:hint="default" w:ascii="宋体" w:hAnsi="宋体" w:eastAsia="宋体" w:cs="宋体"/>
                <w:b/>
                <w:bCs/>
                <w:color w:val="auto"/>
                <w:sz w:val="21"/>
                <w:szCs w:val="21"/>
                <w:highlight w:val="none"/>
              </w:rPr>
              <w:t>提供以上人员证书的复印件或扫描件，并加盖</w:t>
            </w:r>
            <w:r>
              <w:rPr>
                <w:rFonts w:hint="eastAsia" w:ascii="宋体" w:hAnsi="宋体" w:eastAsia="宋体" w:cs="宋体"/>
                <w:b/>
                <w:bCs/>
                <w:color w:val="auto"/>
                <w:sz w:val="21"/>
                <w:szCs w:val="21"/>
                <w:highlight w:val="none"/>
                <w:lang w:val="en-US" w:eastAsia="zh-CN"/>
              </w:rPr>
              <w:t>征集响应</w:t>
            </w:r>
            <w:r>
              <w:rPr>
                <w:rFonts w:hint="default" w:ascii="宋体" w:hAnsi="宋体" w:eastAsia="宋体" w:cs="宋体"/>
                <w:b/>
                <w:bCs/>
                <w:color w:val="auto"/>
                <w:sz w:val="21"/>
                <w:szCs w:val="21"/>
                <w:highlight w:val="none"/>
              </w:rPr>
              <w:t>人公章放入</w:t>
            </w:r>
            <w:r>
              <w:rPr>
                <w:rFonts w:hint="eastAsia" w:ascii="宋体" w:hAnsi="宋体" w:eastAsia="宋体" w:cs="宋体"/>
                <w:b/>
                <w:bCs/>
                <w:color w:val="auto"/>
                <w:sz w:val="21"/>
                <w:szCs w:val="21"/>
                <w:highlight w:val="none"/>
                <w:lang w:val="en-US" w:eastAsia="zh-CN"/>
              </w:rPr>
              <w:t>征集响应</w:t>
            </w:r>
            <w:r>
              <w:rPr>
                <w:rFonts w:hint="default" w:ascii="宋体" w:hAnsi="宋体" w:eastAsia="宋体" w:cs="宋体"/>
                <w:b/>
                <w:bCs/>
                <w:color w:val="auto"/>
                <w:sz w:val="21"/>
                <w:szCs w:val="21"/>
                <w:highlight w:val="none"/>
              </w:rPr>
              <w:t>文件内，未提供不得分。</w:t>
            </w:r>
          </w:p>
          <w:p w14:paraId="1DCA17BB">
            <w:pPr>
              <w:pStyle w:val="4"/>
              <w:keepNext w:val="0"/>
              <w:keepLines w:val="0"/>
              <w:widowControl/>
              <w:numPr>
                <w:ilvl w:val="0"/>
                <w:numId w:val="0"/>
              </w:numPr>
              <w:suppressLineNumbers w:val="0"/>
              <w:spacing w:before="0" w:beforeAutospacing="0" w:after="0" w:afterAutospacing="0" w:line="360" w:lineRule="atLeast"/>
              <w:ind w:left="0" w:leftChars="0" w:right="0" w:rightChars="0"/>
              <w:rPr>
                <w:rFonts w:hint="default"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eastAsia="zh-CN"/>
              </w:rPr>
              <w:t>）</w:t>
            </w:r>
            <w:r>
              <w:rPr>
                <w:rFonts w:hint="default" w:ascii="宋体" w:hAnsi="宋体" w:eastAsia="宋体" w:cs="宋体"/>
                <w:b/>
                <w:bCs/>
                <w:color w:val="auto"/>
                <w:sz w:val="21"/>
                <w:szCs w:val="21"/>
                <w:highlight w:val="none"/>
              </w:rPr>
              <w:t>同一人员同时满足多个专业要求的，不累计计分，按最高分计一次。若提供的证书未体现专业类别，须在</w:t>
            </w:r>
            <w:r>
              <w:rPr>
                <w:rFonts w:hint="eastAsia" w:ascii="宋体" w:hAnsi="宋体" w:eastAsia="宋体" w:cs="宋体"/>
                <w:b/>
                <w:bCs/>
                <w:color w:val="auto"/>
                <w:sz w:val="21"/>
                <w:szCs w:val="21"/>
                <w:highlight w:val="none"/>
                <w:lang w:val="en-US" w:eastAsia="zh-CN"/>
              </w:rPr>
              <w:t>征集响应</w:t>
            </w:r>
            <w:r>
              <w:rPr>
                <w:rFonts w:hint="default" w:ascii="宋体" w:hAnsi="宋体" w:eastAsia="宋体" w:cs="宋体"/>
                <w:b/>
                <w:bCs/>
                <w:color w:val="auto"/>
                <w:sz w:val="21"/>
                <w:szCs w:val="21"/>
                <w:highlight w:val="none"/>
              </w:rPr>
              <w:t>文件中提供其他证明材料予以佐证，未提供不得分。</w:t>
            </w:r>
          </w:p>
        </w:tc>
      </w:tr>
      <w:tr w14:paraId="226A36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1659" w:type="dxa"/>
            <w:tcBorders>
              <w:top w:val="nil"/>
              <w:left w:val="single" w:color="auto" w:sz="8" w:space="0"/>
              <w:bottom w:val="single" w:color="auto" w:sz="8" w:space="0"/>
              <w:right w:val="single" w:color="auto" w:sz="8" w:space="0"/>
            </w:tcBorders>
            <w:shd w:val="clear" w:color="auto" w:fill="auto"/>
            <w:vAlign w:val="center"/>
          </w:tcPr>
          <w:p w14:paraId="696ADE19">
            <w:pPr>
              <w:pStyle w:val="4"/>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宋体" w:hAnsi="宋体" w:eastAsia="宋体" w:cs="宋体"/>
                <w:color w:val="auto"/>
                <w:sz w:val="21"/>
                <w:szCs w:val="21"/>
                <w:highlight w:val="none"/>
              </w:rPr>
              <w:t>检测方案</w:t>
            </w:r>
          </w:p>
        </w:tc>
        <w:tc>
          <w:tcPr>
            <w:tcW w:w="992" w:type="dxa"/>
            <w:tcBorders>
              <w:top w:val="nil"/>
              <w:left w:val="nil"/>
              <w:bottom w:val="single" w:color="auto" w:sz="8" w:space="0"/>
              <w:right w:val="single" w:color="auto" w:sz="8" w:space="0"/>
            </w:tcBorders>
            <w:shd w:val="clear" w:color="auto" w:fill="auto"/>
            <w:vAlign w:val="center"/>
          </w:tcPr>
          <w:p w14:paraId="1B8FB6B3">
            <w:pPr>
              <w:pStyle w:val="4"/>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宋体" w:hAnsi="宋体" w:eastAsia="宋体" w:cs="宋体"/>
                <w:color w:val="auto"/>
                <w:sz w:val="21"/>
                <w:szCs w:val="21"/>
                <w:highlight w:val="none"/>
              </w:rPr>
              <w:t>40分</w:t>
            </w:r>
          </w:p>
        </w:tc>
        <w:tc>
          <w:tcPr>
            <w:tcW w:w="6421" w:type="dxa"/>
            <w:tcBorders>
              <w:top w:val="nil"/>
              <w:left w:val="nil"/>
              <w:bottom w:val="single" w:color="auto" w:sz="8" w:space="0"/>
              <w:right w:val="single" w:color="auto" w:sz="8" w:space="0"/>
            </w:tcBorders>
            <w:shd w:val="clear" w:color="auto" w:fill="auto"/>
            <w:tcMar>
              <w:left w:w="85" w:type="dxa"/>
              <w:right w:w="85" w:type="dxa"/>
            </w:tcMar>
            <w:vAlign w:val="center"/>
          </w:tcPr>
          <w:p w14:paraId="5CC79F97">
            <w:pPr>
              <w:pStyle w:val="4"/>
              <w:keepNext w:val="0"/>
              <w:keepLines w:val="0"/>
              <w:widowControl/>
              <w:suppressLineNumbers w:val="0"/>
              <w:spacing w:before="0" w:beforeAutospacing="0" w:after="0" w:afterAutospacing="0" w:line="360" w:lineRule="atLeast"/>
              <w:ind w:left="0" w:right="0"/>
              <w:rPr>
                <w:rFonts w:hint="default"/>
                <w:color w:val="auto"/>
                <w:highlight w:val="none"/>
              </w:rPr>
            </w:pPr>
            <w:r>
              <w:rPr>
                <w:rFonts w:hint="eastAsia" w:ascii="宋体" w:hAnsi="宋体" w:eastAsia="宋体" w:cs="宋体"/>
                <w:color w:val="auto"/>
                <w:sz w:val="21"/>
                <w:szCs w:val="21"/>
                <w:highlight w:val="none"/>
              </w:rPr>
              <w:t>检测方案总体思路清晰、内容编制完整；技术措施、质量保证措施、安全管理体系与措施内容齐全、合理；且能针对重点工程项目特点,对服务过程中的关键内容、重难点进行阐述,并提出详细的重难关键环节解决方案及控制措施。</w:t>
            </w:r>
          </w:p>
          <w:p w14:paraId="690AA054">
            <w:pPr>
              <w:pStyle w:val="4"/>
              <w:keepNext w:val="0"/>
              <w:keepLines w:val="0"/>
              <w:widowControl/>
              <w:suppressLineNumbers w:val="0"/>
              <w:spacing w:before="0" w:beforeAutospacing="0" w:after="0" w:afterAutospacing="0" w:line="360" w:lineRule="atLeast"/>
              <w:ind w:left="0" w:right="0"/>
              <w:rPr>
                <w:rFonts w:hint="default"/>
                <w:color w:val="auto"/>
                <w:highlight w:val="none"/>
              </w:rPr>
            </w:pPr>
            <w:r>
              <w:rPr>
                <w:rFonts w:hint="eastAsia" w:ascii="宋体" w:hAnsi="宋体" w:eastAsia="宋体" w:cs="宋体"/>
                <w:color w:val="auto"/>
                <w:sz w:val="21"/>
                <w:szCs w:val="21"/>
                <w:highlight w:val="none"/>
              </w:rPr>
              <w:t>优秀的得32＜F≤40分；良好的得24＜F≤32分；一般的得16＜F≤24分；较差的得1＜F≤16分，未提供，不得分。</w:t>
            </w:r>
          </w:p>
        </w:tc>
      </w:tr>
    </w:tbl>
    <w:p w14:paraId="58D063AA">
      <w:pPr>
        <w:widowControl/>
        <w:spacing w:line="420" w:lineRule="atLeast"/>
        <w:ind w:firstLine="645"/>
        <w:rPr>
          <w:color w:val="auto"/>
          <w:highlight w:val="none"/>
        </w:rPr>
      </w:pPr>
      <w:r>
        <w:rPr>
          <w:rFonts w:hint="eastAsia" w:ascii="仿宋" w:hAnsi="仿宋" w:eastAsia="仿宋" w:cs="仿宋"/>
          <w:color w:val="auto"/>
          <w:kern w:val="0"/>
          <w:sz w:val="32"/>
          <w:szCs w:val="32"/>
          <w:highlight w:val="none"/>
          <w:shd w:val="clear" w:color="auto" w:fill="FFFFFF"/>
        </w:rPr>
        <w:t>  </w:t>
      </w:r>
    </w:p>
    <w:p w14:paraId="302926CE">
      <w:pPr>
        <w:widowControl/>
        <w:spacing w:line="420" w:lineRule="atLeast"/>
        <w:ind w:firstLine="645"/>
        <w:rPr>
          <w:rFonts w:ascii="仿宋" w:hAnsi="仿宋" w:eastAsia="仿宋" w:cs="仿宋"/>
          <w:color w:val="auto"/>
          <w:kern w:val="0"/>
          <w:sz w:val="32"/>
          <w:szCs w:val="32"/>
          <w:highlight w:val="none"/>
          <w:shd w:val="clear" w:color="auto" w:fill="FFFFFF"/>
        </w:rPr>
      </w:pPr>
      <w:r>
        <w:rPr>
          <w:rFonts w:hint="eastAsia" w:ascii="仿宋" w:hAnsi="仿宋" w:eastAsia="仿宋" w:cs="仿宋"/>
          <w:color w:val="auto"/>
          <w:kern w:val="0"/>
          <w:sz w:val="32"/>
          <w:szCs w:val="32"/>
          <w:highlight w:val="none"/>
          <w:shd w:val="clear" w:color="auto" w:fill="FFFFFF"/>
        </w:rPr>
        <w:t>  </w:t>
      </w:r>
    </w:p>
    <w:p w14:paraId="5D19BF1B">
      <w:pPr>
        <w:widowControl/>
        <w:spacing w:line="420" w:lineRule="atLeast"/>
        <w:ind w:firstLine="645"/>
        <w:rPr>
          <w:rFonts w:ascii="仿宋" w:hAnsi="仿宋" w:eastAsia="仿宋" w:cs="仿宋"/>
          <w:color w:val="auto"/>
          <w:kern w:val="0"/>
          <w:sz w:val="32"/>
          <w:szCs w:val="32"/>
          <w:highlight w:val="none"/>
          <w:shd w:val="clear" w:color="auto" w:fill="FFFFFF"/>
        </w:rPr>
      </w:pPr>
    </w:p>
    <w:p w14:paraId="206965CD">
      <w:pPr>
        <w:widowControl/>
        <w:spacing w:line="420" w:lineRule="atLeast"/>
        <w:ind w:firstLine="645"/>
        <w:rPr>
          <w:rFonts w:ascii="仿宋" w:hAnsi="仿宋" w:eastAsia="仿宋" w:cs="仿宋"/>
          <w:color w:val="auto"/>
          <w:kern w:val="0"/>
          <w:sz w:val="32"/>
          <w:szCs w:val="32"/>
          <w:highlight w:val="none"/>
          <w:shd w:val="clear" w:color="auto" w:fill="FFFFFF"/>
        </w:rPr>
      </w:pPr>
    </w:p>
    <w:p w14:paraId="00F80358">
      <w:pPr>
        <w:widowControl/>
        <w:spacing w:line="420" w:lineRule="atLeast"/>
        <w:ind w:firstLine="645"/>
        <w:rPr>
          <w:rFonts w:ascii="仿宋" w:hAnsi="仿宋" w:eastAsia="仿宋" w:cs="仿宋"/>
          <w:color w:val="auto"/>
          <w:kern w:val="0"/>
          <w:sz w:val="32"/>
          <w:szCs w:val="32"/>
          <w:highlight w:val="none"/>
          <w:shd w:val="clear" w:color="auto" w:fill="FFFFFF"/>
        </w:rPr>
      </w:pPr>
    </w:p>
    <w:p w14:paraId="25EBFD08">
      <w:pPr>
        <w:widowControl/>
        <w:spacing w:line="420" w:lineRule="atLeast"/>
        <w:ind w:firstLine="645"/>
        <w:rPr>
          <w:rFonts w:ascii="仿宋" w:hAnsi="仿宋" w:eastAsia="仿宋" w:cs="仿宋"/>
          <w:color w:val="auto"/>
          <w:kern w:val="0"/>
          <w:sz w:val="32"/>
          <w:szCs w:val="32"/>
          <w:highlight w:val="none"/>
          <w:shd w:val="clear" w:color="auto" w:fill="FFFFFF"/>
        </w:rPr>
      </w:pPr>
    </w:p>
    <w:p w14:paraId="0D7021A8">
      <w:pPr>
        <w:widowControl/>
        <w:spacing w:line="420" w:lineRule="atLeast"/>
        <w:ind w:firstLine="645"/>
        <w:rPr>
          <w:rFonts w:ascii="仿宋" w:hAnsi="仿宋" w:eastAsia="仿宋" w:cs="仿宋"/>
          <w:color w:val="auto"/>
          <w:kern w:val="0"/>
          <w:sz w:val="32"/>
          <w:szCs w:val="32"/>
          <w:highlight w:val="none"/>
          <w:shd w:val="clear" w:color="auto" w:fill="FFFFFF"/>
        </w:rPr>
      </w:pPr>
    </w:p>
    <w:p w14:paraId="6B6A4BCC">
      <w:pPr>
        <w:widowControl/>
        <w:spacing w:line="420" w:lineRule="atLeast"/>
        <w:ind w:firstLine="645"/>
        <w:rPr>
          <w:rFonts w:ascii="仿宋" w:hAnsi="仿宋" w:eastAsia="仿宋" w:cs="仿宋"/>
          <w:color w:val="auto"/>
          <w:kern w:val="0"/>
          <w:sz w:val="32"/>
          <w:szCs w:val="32"/>
          <w:highlight w:val="none"/>
          <w:shd w:val="clear" w:color="auto" w:fill="FFFFFF"/>
        </w:rPr>
      </w:pPr>
    </w:p>
    <w:p w14:paraId="5CA9B04B">
      <w:pPr>
        <w:widowControl/>
        <w:spacing w:line="420" w:lineRule="atLeast"/>
        <w:ind w:firstLine="645"/>
        <w:rPr>
          <w:rFonts w:ascii="仿宋" w:hAnsi="仿宋" w:eastAsia="仿宋" w:cs="仿宋"/>
          <w:color w:val="auto"/>
          <w:kern w:val="0"/>
          <w:sz w:val="32"/>
          <w:szCs w:val="32"/>
          <w:highlight w:val="none"/>
          <w:shd w:val="clear" w:color="auto" w:fill="FFFFFF"/>
        </w:rPr>
      </w:pPr>
    </w:p>
    <w:p w14:paraId="3310C68B">
      <w:pPr>
        <w:widowControl/>
        <w:spacing w:line="420" w:lineRule="atLeast"/>
        <w:ind w:firstLine="645"/>
        <w:rPr>
          <w:rFonts w:ascii="仿宋" w:hAnsi="仿宋" w:eastAsia="仿宋" w:cs="仿宋"/>
          <w:color w:val="auto"/>
          <w:kern w:val="0"/>
          <w:sz w:val="32"/>
          <w:szCs w:val="32"/>
          <w:highlight w:val="none"/>
          <w:shd w:val="clear" w:color="auto" w:fill="FFFFFF"/>
        </w:rPr>
      </w:pPr>
    </w:p>
    <w:p w14:paraId="1E25695A">
      <w:pPr>
        <w:rPr>
          <w:rFonts w:ascii="仿宋" w:hAnsi="仿宋" w:eastAsia="仿宋" w:cs="仿宋"/>
          <w:color w:val="auto"/>
          <w:kern w:val="0"/>
          <w:sz w:val="32"/>
          <w:szCs w:val="32"/>
          <w:highlight w:val="none"/>
          <w:shd w:val="clear" w:color="auto" w:fill="FFFFFF"/>
        </w:rPr>
      </w:pPr>
      <w:r>
        <w:rPr>
          <w:rFonts w:ascii="仿宋" w:hAnsi="仿宋" w:eastAsia="仿宋" w:cs="仿宋"/>
          <w:color w:val="auto"/>
          <w:kern w:val="0"/>
          <w:sz w:val="32"/>
          <w:szCs w:val="32"/>
          <w:highlight w:val="none"/>
          <w:shd w:val="clear" w:color="auto" w:fill="FFFFFF"/>
        </w:rPr>
        <w:br w:type="page"/>
      </w:r>
    </w:p>
    <w:p w14:paraId="60B6857E">
      <w:pPr>
        <w:widowControl/>
        <w:spacing w:line="420" w:lineRule="atLeast"/>
        <w:rPr>
          <w:color w:val="auto"/>
          <w:highlight w:val="none"/>
        </w:rPr>
      </w:pPr>
      <w:r>
        <w:rPr>
          <w:rFonts w:hint="eastAsia" w:ascii="仿宋" w:hAnsi="仿宋" w:eastAsia="仿宋" w:cs="仿宋"/>
          <w:color w:val="auto"/>
          <w:kern w:val="0"/>
          <w:sz w:val="32"/>
          <w:szCs w:val="32"/>
          <w:highlight w:val="none"/>
          <w:shd w:val="clear" w:color="auto" w:fill="FFFFFF"/>
        </w:rPr>
        <w:t>附件4</w:t>
      </w:r>
    </w:p>
    <w:p w14:paraId="349FED1D">
      <w:pPr>
        <w:widowControl/>
        <w:spacing w:line="420" w:lineRule="atLeast"/>
        <w:jc w:val="center"/>
        <w:rPr>
          <w:color w:val="auto"/>
          <w:highlight w:val="none"/>
        </w:rPr>
      </w:pPr>
      <w:r>
        <w:rPr>
          <w:rFonts w:hint="eastAsia" w:ascii="仿宋" w:hAnsi="仿宋" w:eastAsia="仿宋" w:cs="仿宋"/>
          <w:b/>
          <w:bCs/>
          <w:color w:val="auto"/>
          <w:kern w:val="0"/>
          <w:sz w:val="32"/>
          <w:szCs w:val="32"/>
          <w:highlight w:val="none"/>
          <w:shd w:val="clear" w:color="auto" w:fill="FFFFFF"/>
        </w:rPr>
        <w:t>考核办法</w:t>
      </w:r>
    </w:p>
    <w:p w14:paraId="4D7CCF8D">
      <w:pPr>
        <w:widowControl/>
        <w:spacing w:line="420" w:lineRule="atLeast"/>
        <w:ind w:firstLine="627"/>
        <w:rPr>
          <w:color w:val="auto"/>
          <w:highlight w:val="none"/>
        </w:rPr>
      </w:pPr>
      <w:r>
        <w:rPr>
          <w:rFonts w:hint="eastAsia" w:ascii="仿宋" w:hAnsi="仿宋" w:eastAsia="仿宋" w:cs="仿宋"/>
          <w:color w:val="auto"/>
          <w:kern w:val="0"/>
          <w:sz w:val="32"/>
          <w:szCs w:val="32"/>
          <w:highlight w:val="none"/>
          <w:shd w:val="clear" w:color="auto" w:fill="FFFFFF"/>
        </w:rPr>
        <w:t> </w:t>
      </w:r>
    </w:p>
    <w:p w14:paraId="10BF26B5">
      <w:pPr>
        <w:widowControl/>
        <w:spacing w:line="420" w:lineRule="atLeast"/>
        <w:ind w:firstLine="627"/>
        <w:rPr>
          <w:color w:val="auto"/>
          <w:highlight w:val="none"/>
        </w:rPr>
      </w:pPr>
      <w:r>
        <w:rPr>
          <w:rFonts w:hint="eastAsia" w:ascii="仿宋" w:hAnsi="仿宋" w:eastAsia="仿宋" w:cs="仿宋"/>
          <w:color w:val="auto"/>
          <w:kern w:val="0"/>
          <w:sz w:val="32"/>
          <w:szCs w:val="32"/>
          <w:highlight w:val="none"/>
          <w:shd w:val="clear" w:color="auto" w:fill="FFFFFF"/>
        </w:rPr>
        <w:t>一、</w:t>
      </w:r>
      <w:r>
        <w:rPr>
          <w:rFonts w:ascii="仿宋_GB2312" w:hAnsi="微软雅黑" w:eastAsia="仿宋_GB2312" w:cs="仿宋_GB2312"/>
          <w:color w:val="auto"/>
          <w:kern w:val="0"/>
          <w:sz w:val="32"/>
          <w:szCs w:val="32"/>
          <w:highlight w:val="none"/>
          <w:shd w:val="clear" w:color="auto" w:fill="FFFFFF"/>
        </w:rPr>
        <w:t>第三方检测服务库实行动态管理、综合考评、负面清单等制度。</w:t>
      </w:r>
      <w:r>
        <w:rPr>
          <w:rFonts w:hint="eastAsia" w:ascii="仿宋_GB2312" w:hAnsi="微软雅黑" w:eastAsia="仿宋_GB2312" w:cs="仿宋_GB2312"/>
          <w:color w:val="auto"/>
          <w:kern w:val="0"/>
          <w:sz w:val="32"/>
          <w:szCs w:val="32"/>
          <w:highlight w:val="none"/>
          <w:shd w:val="clear" w:color="auto" w:fill="FFFFFF"/>
        </w:rPr>
        <w:t>铜陵大通三江建设发展有限公司</w:t>
      </w:r>
      <w:r>
        <w:rPr>
          <w:rFonts w:ascii="仿宋_GB2312" w:hAnsi="微软雅黑" w:eastAsia="仿宋_GB2312" w:cs="仿宋_GB2312"/>
          <w:color w:val="auto"/>
          <w:kern w:val="0"/>
          <w:sz w:val="32"/>
          <w:szCs w:val="32"/>
          <w:highlight w:val="none"/>
          <w:shd w:val="clear" w:color="auto" w:fill="FFFFFF"/>
        </w:rPr>
        <w:t>负责检测单位抽取选用、纳入负面清单等工作，</w:t>
      </w:r>
      <w:r>
        <w:rPr>
          <w:rFonts w:hint="eastAsia" w:ascii="仿宋_GB2312" w:hAnsi="微软雅黑" w:eastAsia="仿宋_GB2312" w:cs="仿宋_GB2312"/>
          <w:color w:val="auto"/>
          <w:kern w:val="0"/>
          <w:sz w:val="32"/>
          <w:szCs w:val="32"/>
          <w:highlight w:val="none"/>
          <w:shd w:val="clear" w:color="auto" w:fill="FFFFFF"/>
        </w:rPr>
        <w:t>铜陵金诚保障房投资有限公司</w:t>
      </w:r>
      <w:r>
        <w:rPr>
          <w:rFonts w:ascii="仿宋_GB2312" w:hAnsi="微软雅黑" w:eastAsia="仿宋_GB2312" w:cs="仿宋_GB2312"/>
          <w:color w:val="auto"/>
          <w:kern w:val="0"/>
          <w:sz w:val="32"/>
          <w:szCs w:val="32"/>
          <w:highlight w:val="none"/>
          <w:shd w:val="clear" w:color="auto" w:fill="FFFFFF"/>
        </w:rPr>
        <w:t>负责检测单位的日常考评，包括对库内检测单位的业务及信用建设实施全过程管理和监督等。</w:t>
      </w:r>
    </w:p>
    <w:p w14:paraId="18918E24">
      <w:pPr>
        <w:widowControl/>
        <w:spacing w:line="420" w:lineRule="atLeast"/>
        <w:ind w:firstLine="640"/>
        <w:rPr>
          <w:color w:val="auto"/>
          <w:highlight w:val="none"/>
        </w:rPr>
      </w:pPr>
      <w:r>
        <w:rPr>
          <w:rFonts w:ascii="仿宋_GB2312" w:hAnsi="微软雅黑" w:eastAsia="仿宋_GB2312" w:cs="仿宋_GB2312"/>
          <w:color w:val="auto"/>
          <w:kern w:val="0"/>
          <w:sz w:val="32"/>
          <w:szCs w:val="32"/>
          <w:highlight w:val="none"/>
          <w:shd w:val="clear" w:color="auto" w:fill="FFFFFF"/>
        </w:rPr>
        <w:t>二、第三方检测库实行考核制度、动态清出。考核由铜陵金诚保障房投资有限公司组织，每季度进行一次。主要对项目检测单位的服务效率、服务质量、后续支持、遵纪守法、执行合同等情况进行评价打分，考评实行百分标准扣分制。次年，铜陵金诚保障房投资有限公司汇总上一年度检测单位考评情况，提出淘汰和增补意见，并发文通报。</w:t>
      </w:r>
    </w:p>
    <w:p w14:paraId="24E3196E">
      <w:pPr>
        <w:widowControl/>
        <w:spacing w:line="420" w:lineRule="atLeast"/>
        <w:ind w:firstLine="640"/>
        <w:rPr>
          <w:color w:val="auto"/>
          <w:highlight w:val="none"/>
        </w:rPr>
      </w:pPr>
      <w:r>
        <w:rPr>
          <w:rFonts w:ascii="仿宋_GB2312" w:hAnsi="微软雅黑" w:eastAsia="仿宋_GB2312" w:cs="仿宋_GB2312"/>
          <w:color w:val="auto"/>
          <w:kern w:val="0"/>
          <w:sz w:val="32"/>
          <w:szCs w:val="32"/>
          <w:highlight w:val="none"/>
          <w:shd w:val="clear" w:color="auto" w:fill="FFFFFF"/>
        </w:rPr>
        <w:t>三、经依法招标或采购中标的第三方检测单位，严格执行有关技术规范、规程、标准的，检测人员随叫随到，认真履责，信守合同，可由检测单位申请，铜陵金诚保障房投资有限公司</w:t>
      </w:r>
      <w:r>
        <w:rPr>
          <w:rFonts w:hint="eastAsia" w:ascii="仿宋_GB2312" w:hAnsi="微软雅黑" w:eastAsia="仿宋_GB2312" w:cs="仿宋_GB2312"/>
          <w:color w:val="auto"/>
          <w:kern w:val="0"/>
          <w:sz w:val="32"/>
          <w:szCs w:val="32"/>
          <w:highlight w:val="none"/>
          <w:shd w:val="clear" w:color="auto" w:fill="FFFFFF"/>
        </w:rPr>
        <w:t>提议，</w:t>
      </w:r>
      <w:r>
        <w:rPr>
          <w:rFonts w:ascii="仿宋_GB2312" w:hAnsi="微软雅黑" w:eastAsia="仿宋_GB2312" w:cs="仿宋_GB2312"/>
          <w:color w:val="auto"/>
          <w:kern w:val="0"/>
          <w:sz w:val="32"/>
          <w:szCs w:val="32"/>
          <w:highlight w:val="none"/>
          <w:shd w:val="clear" w:color="auto" w:fill="FFFFFF"/>
        </w:rPr>
        <w:t>经</w:t>
      </w:r>
      <w:r>
        <w:rPr>
          <w:rFonts w:hint="eastAsia" w:ascii="仿宋_GB2312" w:hAnsi="微软雅黑" w:eastAsia="仿宋_GB2312" w:cs="仿宋_GB2312"/>
          <w:color w:val="auto"/>
          <w:kern w:val="0"/>
          <w:sz w:val="32"/>
          <w:szCs w:val="32"/>
          <w:highlight w:val="none"/>
          <w:shd w:val="clear" w:color="auto" w:fill="FFFFFF"/>
        </w:rPr>
        <w:t>集团总经理办公会议</w:t>
      </w:r>
      <w:r>
        <w:rPr>
          <w:rFonts w:ascii="仿宋_GB2312" w:hAnsi="微软雅黑" w:eastAsia="仿宋_GB2312" w:cs="仿宋_GB2312"/>
          <w:color w:val="auto"/>
          <w:kern w:val="0"/>
          <w:sz w:val="32"/>
          <w:szCs w:val="32"/>
          <w:highlight w:val="none"/>
          <w:shd w:val="clear" w:color="auto" w:fill="FFFFFF"/>
        </w:rPr>
        <w:t>审议通过后，增补进第三方检测库。</w:t>
      </w:r>
    </w:p>
    <w:p w14:paraId="431575AD">
      <w:pPr>
        <w:widowControl/>
        <w:spacing w:line="420" w:lineRule="atLeast"/>
        <w:ind w:firstLine="627"/>
        <w:rPr>
          <w:color w:val="auto"/>
          <w:highlight w:val="none"/>
        </w:rPr>
      </w:pPr>
      <w:r>
        <w:rPr>
          <w:rFonts w:ascii="仿宋_GB2312" w:hAnsi="微软雅黑" w:eastAsia="仿宋_GB2312" w:cs="仿宋_GB2312"/>
          <w:color w:val="auto"/>
          <w:kern w:val="0"/>
          <w:sz w:val="32"/>
          <w:szCs w:val="32"/>
          <w:highlight w:val="none"/>
          <w:shd w:val="clear" w:color="auto" w:fill="FFFFFF"/>
        </w:rPr>
        <w:t>四、单次考核得分低于80分的，对检测单位进行</w:t>
      </w:r>
      <w:r>
        <w:rPr>
          <w:rFonts w:ascii="Calibri" w:hAnsi="Calibri" w:eastAsia="仿宋_GB2312" w:cs="Calibri"/>
          <w:color w:val="auto"/>
          <w:kern w:val="0"/>
          <w:sz w:val="32"/>
          <w:szCs w:val="32"/>
          <w:highlight w:val="none"/>
          <w:shd w:val="clear" w:color="auto" w:fill="FFFFFF"/>
        </w:rPr>
        <w:t>“</w:t>
      </w:r>
      <w:r>
        <w:rPr>
          <w:rFonts w:ascii="仿宋_GB2312" w:hAnsi="微软雅黑" w:eastAsia="仿宋_GB2312" w:cs="仿宋_GB2312"/>
          <w:color w:val="auto"/>
          <w:kern w:val="0"/>
          <w:sz w:val="32"/>
          <w:szCs w:val="32"/>
          <w:highlight w:val="none"/>
          <w:shd w:val="clear" w:color="auto" w:fill="FFFFFF"/>
        </w:rPr>
        <w:t>黄牌警示</w:t>
      </w:r>
      <w:r>
        <w:rPr>
          <w:rFonts w:ascii="Calibri" w:hAnsi="Calibri" w:eastAsia="仿宋_GB2312" w:cs="Calibri"/>
          <w:color w:val="auto"/>
          <w:kern w:val="0"/>
          <w:sz w:val="32"/>
          <w:szCs w:val="32"/>
          <w:highlight w:val="none"/>
          <w:shd w:val="clear" w:color="auto" w:fill="FFFFFF"/>
        </w:rPr>
        <w:t>”</w:t>
      </w:r>
      <w:r>
        <w:rPr>
          <w:rFonts w:ascii="仿宋_GB2312" w:hAnsi="微软雅黑" w:eastAsia="仿宋_GB2312" w:cs="仿宋_GB2312"/>
          <w:color w:val="auto"/>
          <w:kern w:val="0"/>
          <w:sz w:val="32"/>
          <w:szCs w:val="32"/>
          <w:highlight w:val="none"/>
          <w:shd w:val="clear" w:color="auto" w:fill="FFFFFF"/>
        </w:rPr>
        <w:t>，自警示之日起三个月内不得参与项目抽取；单次考核得分低于60分的或一个年度内两次考核得分低于80分的，对检测单位进行</w:t>
      </w:r>
      <w:r>
        <w:rPr>
          <w:rFonts w:ascii="Calibri" w:hAnsi="Calibri" w:eastAsia="仿宋_GB2312" w:cs="Calibri"/>
          <w:color w:val="auto"/>
          <w:kern w:val="0"/>
          <w:sz w:val="32"/>
          <w:szCs w:val="32"/>
          <w:highlight w:val="none"/>
          <w:shd w:val="clear" w:color="auto" w:fill="FFFFFF"/>
        </w:rPr>
        <w:t>“</w:t>
      </w:r>
      <w:r>
        <w:rPr>
          <w:rFonts w:ascii="仿宋_GB2312" w:hAnsi="微软雅黑" w:eastAsia="仿宋_GB2312" w:cs="仿宋_GB2312"/>
          <w:color w:val="auto"/>
          <w:kern w:val="0"/>
          <w:sz w:val="32"/>
          <w:szCs w:val="32"/>
          <w:highlight w:val="none"/>
          <w:shd w:val="clear" w:color="auto" w:fill="FFFFFF"/>
        </w:rPr>
        <w:t>红牌警示</w:t>
      </w:r>
      <w:r>
        <w:rPr>
          <w:rFonts w:ascii="Calibri" w:hAnsi="Calibri" w:eastAsia="仿宋_GB2312" w:cs="Calibri"/>
          <w:color w:val="auto"/>
          <w:kern w:val="0"/>
          <w:sz w:val="32"/>
          <w:szCs w:val="32"/>
          <w:highlight w:val="none"/>
          <w:shd w:val="clear" w:color="auto" w:fill="FFFFFF"/>
        </w:rPr>
        <w:t>”</w:t>
      </w:r>
      <w:r>
        <w:rPr>
          <w:rFonts w:ascii="仿宋_GB2312" w:hAnsi="微软雅黑" w:eastAsia="仿宋_GB2312" w:cs="仿宋_GB2312"/>
          <w:color w:val="auto"/>
          <w:kern w:val="0"/>
          <w:sz w:val="32"/>
          <w:szCs w:val="32"/>
          <w:highlight w:val="none"/>
          <w:shd w:val="clear" w:color="auto" w:fill="FFFFFF"/>
        </w:rPr>
        <w:t>，自警示之日起六个月内不得参与第三方检测库的项目抽取。</w:t>
      </w:r>
    </w:p>
    <w:p w14:paraId="10027B37">
      <w:pPr>
        <w:widowControl/>
        <w:spacing w:line="420" w:lineRule="atLeast"/>
        <w:ind w:firstLine="627"/>
        <w:rPr>
          <w:color w:val="auto"/>
          <w:highlight w:val="none"/>
        </w:rPr>
      </w:pPr>
      <w:r>
        <w:rPr>
          <w:rFonts w:ascii="仿宋_GB2312" w:hAnsi="微软雅黑" w:eastAsia="仿宋_GB2312" w:cs="仿宋_GB2312"/>
          <w:color w:val="auto"/>
          <w:kern w:val="0"/>
          <w:sz w:val="32"/>
          <w:szCs w:val="32"/>
          <w:highlight w:val="none"/>
          <w:shd w:val="clear" w:color="auto" w:fill="FFFFFF"/>
        </w:rPr>
        <w:t>五、检测单位凡有下列情形之一，一律纳入负面清单，立即清理出库。情节严重的，依据相关规定，移送有关行政主管部门给予处罚。</w:t>
      </w:r>
    </w:p>
    <w:p w14:paraId="5F642BE4">
      <w:pPr>
        <w:widowControl/>
        <w:spacing w:line="420" w:lineRule="atLeast"/>
        <w:ind w:firstLine="627"/>
        <w:rPr>
          <w:color w:val="auto"/>
          <w:highlight w:val="none"/>
        </w:rPr>
      </w:pPr>
      <w:r>
        <w:rPr>
          <w:rFonts w:ascii="仿宋_GB2312" w:hAnsi="微软雅黑" w:eastAsia="仿宋_GB2312" w:cs="仿宋_GB2312"/>
          <w:color w:val="auto"/>
          <w:kern w:val="0"/>
          <w:sz w:val="32"/>
          <w:szCs w:val="32"/>
          <w:highlight w:val="none"/>
          <w:shd w:val="clear" w:color="auto" w:fill="FFFFFF"/>
        </w:rPr>
        <w:t>（一）检测单位违法转包及对外委托其承担的检测项目，或未经建设单位同意对外分包的；</w:t>
      </w:r>
    </w:p>
    <w:p w14:paraId="073D3FEF">
      <w:pPr>
        <w:widowControl/>
        <w:spacing w:line="420" w:lineRule="atLeast"/>
        <w:ind w:firstLine="627"/>
        <w:rPr>
          <w:color w:val="auto"/>
          <w:highlight w:val="none"/>
        </w:rPr>
      </w:pPr>
      <w:r>
        <w:rPr>
          <w:rFonts w:ascii="仿宋_GB2312" w:hAnsi="微软雅黑" w:eastAsia="仿宋_GB2312" w:cs="仿宋_GB2312"/>
          <w:color w:val="auto"/>
          <w:kern w:val="0"/>
          <w:sz w:val="32"/>
          <w:szCs w:val="32"/>
          <w:highlight w:val="none"/>
          <w:shd w:val="clear" w:color="auto" w:fill="FFFFFF"/>
        </w:rPr>
        <w:t>（二）与施工单位串通，弄虚作假，提供虚假检测报告的；</w:t>
      </w:r>
    </w:p>
    <w:p w14:paraId="6C1A8748">
      <w:pPr>
        <w:widowControl/>
        <w:spacing w:line="420" w:lineRule="atLeast"/>
        <w:ind w:firstLine="627"/>
        <w:rPr>
          <w:color w:val="auto"/>
          <w:highlight w:val="none"/>
        </w:rPr>
      </w:pPr>
      <w:r>
        <w:rPr>
          <w:rFonts w:ascii="仿宋_GB2312" w:hAnsi="微软雅黑" w:eastAsia="仿宋_GB2312" w:cs="仿宋_GB2312"/>
          <w:color w:val="auto"/>
          <w:kern w:val="0"/>
          <w:sz w:val="32"/>
          <w:szCs w:val="32"/>
          <w:highlight w:val="none"/>
          <w:shd w:val="clear" w:color="auto" w:fill="FFFFFF"/>
        </w:rPr>
        <w:t>（三）拒不配合建设单位及有关部门监督检查的；</w:t>
      </w:r>
    </w:p>
    <w:p w14:paraId="5BF447DC">
      <w:pPr>
        <w:widowControl/>
        <w:spacing w:line="420" w:lineRule="atLeast"/>
        <w:ind w:firstLine="627"/>
        <w:rPr>
          <w:color w:val="auto"/>
          <w:highlight w:val="none"/>
        </w:rPr>
      </w:pPr>
      <w:r>
        <w:rPr>
          <w:rFonts w:ascii="仿宋_GB2312" w:hAnsi="微软雅黑" w:eastAsia="仿宋_GB2312" w:cs="仿宋_GB2312"/>
          <w:color w:val="auto"/>
          <w:kern w:val="0"/>
          <w:sz w:val="32"/>
          <w:szCs w:val="32"/>
          <w:highlight w:val="none"/>
          <w:shd w:val="clear" w:color="auto" w:fill="FFFFFF"/>
        </w:rPr>
        <w:t>（四）作为项目的第三方检测单位，且又承揽该项目施工企业自检业务的；</w:t>
      </w:r>
    </w:p>
    <w:p w14:paraId="4FE4283C">
      <w:pPr>
        <w:widowControl/>
        <w:spacing w:line="420" w:lineRule="atLeast"/>
        <w:ind w:firstLine="627"/>
        <w:rPr>
          <w:color w:val="auto"/>
          <w:highlight w:val="none"/>
        </w:rPr>
      </w:pPr>
      <w:r>
        <w:rPr>
          <w:rFonts w:ascii="仿宋_GB2312" w:hAnsi="微软雅黑" w:eastAsia="仿宋_GB2312" w:cs="仿宋_GB2312"/>
          <w:color w:val="auto"/>
          <w:kern w:val="0"/>
          <w:sz w:val="32"/>
          <w:szCs w:val="32"/>
          <w:highlight w:val="none"/>
          <w:shd w:val="clear" w:color="auto" w:fill="FFFFFF"/>
        </w:rPr>
        <w:t>（五）在12个月内被行业主管部门累计通报2次及以上的；</w:t>
      </w:r>
    </w:p>
    <w:p w14:paraId="4D921CFF">
      <w:pPr>
        <w:widowControl/>
        <w:spacing w:line="420" w:lineRule="atLeast"/>
        <w:ind w:firstLine="627"/>
        <w:rPr>
          <w:color w:val="auto"/>
          <w:highlight w:val="none"/>
        </w:rPr>
      </w:pPr>
      <w:r>
        <w:rPr>
          <w:rFonts w:ascii="仿宋_GB2312" w:hAnsi="微软雅黑" w:eastAsia="仿宋_GB2312" w:cs="仿宋_GB2312"/>
          <w:color w:val="auto"/>
          <w:kern w:val="0"/>
          <w:sz w:val="32"/>
          <w:szCs w:val="32"/>
          <w:highlight w:val="none"/>
          <w:shd w:val="clear" w:color="auto" w:fill="FFFFFF"/>
        </w:rPr>
        <w:t>（六）被责令停业整顿、降级或吊销资质的；</w:t>
      </w:r>
    </w:p>
    <w:p w14:paraId="6173C33B">
      <w:pPr>
        <w:widowControl/>
        <w:spacing w:line="420" w:lineRule="atLeast"/>
        <w:ind w:firstLine="627"/>
        <w:rPr>
          <w:color w:val="auto"/>
          <w:highlight w:val="none"/>
        </w:rPr>
      </w:pPr>
      <w:r>
        <w:rPr>
          <w:rFonts w:ascii="仿宋_GB2312" w:hAnsi="微软雅黑" w:eastAsia="仿宋_GB2312" w:cs="仿宋_GB2312"/>
          <w:color w:val="auto"/>
          <w:kern w:val="0"/>
          <w:sz w:val="32"/>
          <w:szCs w:val="32"/>
          <w:highlight w:val="none"/>
          <w:shd w:val="clear" w:color="auto" w:fill="FFFFFF"/>
        </w:rPr>
        <w:t>（七）经认定的其他有违诚实信用的行为。</w:t>
      </w:r>
    </w:p>
    <w:p w14:paraId="0CB8A15D">
      <w:pPr>
        <w:widowControl/>
        <w:spacing w:line="420" w:lineRule="atLeast"/>
        <w:ind w:firstLine="627"/>
        <w:rPr>
          <w:color w:val="auto"/>
          <w:highlight w:val="none"/>
        </w:rPr>
      </w:pPr>
      <w:r>
        <w:rPr>
          <w:rFonts w:ascii="仿宋_GB2312" w:hAnsi="微软雅黑" w:eastAsia="仿宋_GB2312" w:cs="仿宋_GB2312"/>
          <w:color w:val="auto"/>
          <w:kern w:val="0"/>
          <w:sz w:val="32"/>
          <w:szCs w:val="32"/>
          <w:highlight w:val="none"/>
          <w:shd w:val="clear" w:color="auto" w:fill="FFFFFF"/>
        </w:rPr>
        <w:t>六、季度考核表</w:t>
      </w:r>
    </w:p>
    <w:tbl>
      <w:tblPr>
        <w:tblStyle w:val="5"/>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29"/>
        <w:gridCol w:w="1939"/>
        <w:gridCol w:w="3378"/>
        <w:gridCol w:w="816"/>
        <w:gridCol w:w="944"/>
        <w:gridCol w:w="816"/>
      </w:tblGrid>
      <w:tr w14:paraId="345D049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46"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C4CFC19">
            <w:pPr>
              <w:keepNext w:val="0"/>
              <w:keepLines w:val="0"/>
              <w:widowControl/>
              <w:suppressLineNumbers w:val="0"/>
              <w:spacing w:before="0" w:beforeAutospacing="0" w:after="0" w:afterAutospacing="0"/>
              <w:ind w:left="0" w:right="0"/>
              <w:jc w:val="center"/>
              <w:rPr>
                <w:rFonts w:hint="default"/>
                <w:color w:val="auto"/>
                <w:highlight w:val="none"/>
              </w:rPr>
            </w:pPr>
            <w:r>
              <w:rPr>
                <w:rFonts w:hint="default" w:ascii="仿宋_GB2312" w:eastAsia="仿宋_GB2312" w:cs="仿宋_GB2312"/>
                <w:b/>
                <w:bCs/>
                <w:color w:val="auto"/>
                <w:kern w:val="0"/>
                <w:sz w:val="24"/>
                <w:highlight w:val="none"/>
              </w:rPr>
              <w:t>序号</w:t>
            </w:r>
          </w:p>
        </w:tc>
        <w:tc>
          <w:tcPr>
            <w:tcW w:w="2060"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3E10A67E">
            <w:pPr>
              <w:keepNext w:val="0"/>
              <w:keepLines w:val="0"/>
              <w:widowControl/>
              <w:suppressLineNumbers w:val="0"/>
              <w:spacing w:before="0" w:beforeAutospacing="0" w:after="0" w:afterAutospacing="0"/>
              <w:ind w:left="0" w:right="0"/>
              <w:jc w:val="center"/>
              <w:rPr>
                <w:rFonts w:hint="default"/>
                <w:color w:val="auto"/>
                <w:highlight w:val="none"/>
              </w:rPr>
            </w:pPr>
            <w:r>
              <w:rPr>
                <w:rFonts w:hint="default" w:ascii="仿宋_GB2312" w:eastAsia="仿宋_GB2312" w:cs="仿宋_GB2312"/>
                <w:b/>
                <w:bCs/>
                <w:color w:val="auto"/>
                <w:kern w:val="0"/>
                <w:sz w:val="24"/>
                <w:highlight w:val="none"/>
              </w:rPr>
              <w:t>项目内容</w:t>
            </w:r>
          </w:p>
        </w:tc>
        <w:tc>
          <w:tcPr>
            <w:tcW w:w="3639"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6131D2BB">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b/>
                <w:bCs/>
                <w:color w:val="auto"/>
                <w:kern w:val="0"/>
                <w:sz w:val="24"/>
                <w:highlight w:val="none"/>
              </w:rPr>
              <w:t>计分标准</w:t>
            </w:r>
          </w:p>
        </w:tc>
        <w:tc>
          <w:tcPr>
            <w:tcW w:w="2694"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33F9D194">
            <w:pPr>
              <w:keepNext w:val="0"/>
              <w:keepLines w:val="0"/>
              <w:widowControl/>
              <w:suppressLineNumbers w:val="0"/>
              <w:spacing w:before="0" w:beforeAutospacing="0" w:after="0" w:afterAutospacing="0"/>
              <w:ind w:left="0" w:right="0"/>
              <w:jc w:val="center"/>
              <w:rPr>
                <w:rFonts w:hint="default"/>
                <w:color w:val="auto"/>
                <w:highlight w:val="none"/>
              </w:rPr>
            </w:pPr>
            <w:r>
              <w:rPr>
                <w:rFonts w:hint="default" w:ascii="仿宋_GB2312" w:eastAsia="仿宋_GB2312" w:cs="仿宋_GB2312"/>
                <w:b/>
                <w:bCs/>
                <w:color w:val="auto"/>
                <w:kern w:val="0"/>
                <w:sz w:val="24"/>
                <w:highlight w:val="none"/>
              </w:rPr>
              <w:t>评分</w:t>
            </w:r>
          </w:p>
        </w:tc>
      </w:tr>
      <w:tr w14:paraId="1DC8146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46"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A10ACDF">
            <w:pPr>
              <w:keepNext w:val="0"/>
              <w:keepLines w:val="0"/>
              <w:suppressLineNumbers w:val="0"/>
              <w:spacing w:before="0" w:beforeAutospacing="0" w:after="0" w:afterAutospacing="0"/>
              <w:ind w:left="0" w:right="0"/>
              <w:rPr>
                <w:rFonts w:hint="default" w:ascii="宋体"/>
                <w:color w:val="auto"/>
                <w:sz w:val="24"/>
                <w:highlight w:val="none"/>
              </w:rPr>
            </w:pPr>
          </w:p>
        </w:tc>
        <w:tc>
          <w:tcPr>
            <w:tcW w:w="2060"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41F67D23">
            <w:pPr>
              <w:keepNext w:val="0"/>
              <w:keepLines w:val="0"/>
              <w:suppressLineNumbers w:val="0"/>
              <w:spacing w:before="0" w:beforeAutospacing="0" w:after="0" w:afterAutospacing="0"/>
              <w:ind w:left="0" w:right="0"/>
              <w:rPr>
                <w:rFonts w:hint="default" w:ascii="宋体"/>
                <w:color w:val="auto"/>
                <w:sz w:val="24"/>
                <w:highlight w:val="none"/>
              </w:rPr>
            </w:pPr>
          </w:p>
        </w:tc>
        <w:tc>
          <w:tcPr>
            <w:tcW w:w="3639"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39FF10C6">
            <w:pPr>
              <w:keepNext w:val="0"/>
              <w:keepLines w:val="0"/>
              <w:suppressLineNumbers w:val="0"/>
              <w:spacing w:before="0" w:beforeAutospacing="0" w:after="0" w:afterAutospacing="0"/>
              <w:ind w:left="0" w:right="0"/>
              <w:rPr>
                <w:rFonts w:hint="default" w:ascii="宋体"/>
                <w:color w:val="auto"/>
                <w:sz w:val="24"/>
                <w:highlight w:val="none"/>
              </w:rPr>
            </w:pP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10B9EEB2">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b/>
                <w:bCs/>
                <w:color w:val="auto"/>
                <w:kern w:val="0"/>
                <w:sz w:val="24"/>
                <w:highlight w:val="none"/>
              </w:rPr>
              <w:t>应得分</w:t>
            </w:r>
          </w:p>
        </w:tc>
        <w:tc>
          <w:tcPr>
            <w:tcW w:w="99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60A51A9B">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b/>
                <w:bCs/>
                <w:color w:val="auto"/>
                <w:kern w:val="0"/>
                <w:sz w:val="24"/>
                <w:highlight w:val="none"/>
              </w:rPr>
              <w:t>扣分</w:t>
            </w:r>
          </w:p>
        </w:tc>
        <w:tc>
          <w:tcPr>
            <w:tcW w:w="85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0140C271">
            <w:pPr>
              <w:keepNext w:val="0"/>
              <w:keepLines w:val="0"/>
              <w:widowControl/>
              <w:suppressLineNumbers w:val="0"/>
              <w:spacing w:before="0" w:beforeAutospacing="0" w:after="0" w:afterAutospacing="0"/>
              <w:ind w:left="0" w:right="0"/>
              <w:jc w:val="center"/>
              <w:rPr>
                <w:rFonts w:hint="default"/>
                <w:color w:val="auto"/>
                <w:highlight w:val="none"/>
              </w:rPr>
            </w:pPr>
            <w:r>
              <w:rPr>
                <w:rFonts w:hint="eastAsia" w:ascii="仿宋" w:hAnsi="仿宋" w:eastAsia="仿宋" w:cs="仿宋"/>
                <w:b/>
                <w:bCs/>
                <w:color w:val="auto"/>
                <w:kern w:val="0"/>
                <w:sz w:val="24"/>
                <w:highlight w:val="none"/>
              </w:rPr>
              <w:t>实得分</w:t>
            </w:r>
          </w:p>
        </w:tc>
      </w:tr>
      <w:tr w14:paraId="657AFE5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46"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612FE7B">
            <w:pPr>
              <w:keepNext w:val="0"/>
              <w:keepLines w:val="0"/>
              <w:widowControl/>
              <w:suppressLineNumbers w:val="0"/>
              <w:spacing w:before="0" w:beforeAutospacing="0" w:after="0" w:afterAutospacing="0"/>
              <w:ind w:left="0" w:right="0"/>
              <w:jc w:val="center"/>
              <w:rPr>
                <w:rFonts w:hint="default"/>
                <w:color w:val="auto"/>
                <w:highlight w:val="none"/>
              </w:rPr>
            </w:pPr>
            <w:r>
              <w:rPr>
                <w:rFonts w:hint="default" w:ascii="仿宋_GB2312" w:eastAsia="仿宋_GB2312" w:cs="仿宋_GB2312"/>
                <w:color w:val="auto"/>
                <w:kern w:val="0"/>
                <w:sz w:val="24"/>
                <w:highlight w:val="none"/>
              </w:rPr>
              <w:t>1</w:t>
            </w:r>
          </w:p>
        </w:tc>
        <w:tc>
          <w:tcPr>
            <w:tcW w:w="206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14:paraId="18F1777F">
            <w:pPr>
              <w:keepNext w:val="0"/>
              <w:keepLines w:val="0"/>
              <w:widowControl/>
              <w:suppressLineNumbers w:val="0"/>
              <w:spacing w:before="0" w:beforeAutospacing="0" w:after="0" w:afterAutospacing="0"/>
              <w:ind w:left="0" w:right="0"/>
              <w:rPr>
                <w:rFonts w:hint="default"/>
                <w:color w:val="auto"/>
                <w:highlight w:val="none"/>
              </w:rPr>
            </w:pPr>
            <w:r>
              <w:rPr>
                <w:rFonts w:hint="default" w:ascii="仿宋_GB2312" w:eastAsia="仿宋_GB2312" w:cs="仿宋_GB2312"/>
                <w:color w:val="auto"/>
                <w:kern w:val="0"/>
                <w:sz w:val="24"/>
                <w:highlight w:val="none"/>
              </w:rPr>
              <w:t>人员、技术准备</w:t>
            </w:r>
          </w:p>
          <w:p w14:paraId="050E5759">
            <w:pPr>
              <w:keepNext w:val="0"/>
              <w:keepLines w:val="0"/>
              <w:widowControl/>
              <w:suppressLineNumbers w:val="0"/>
              <w:spacing w:before="0" w:beforeAutospacing="0" w:after="0" w:afterAutospacing="0"/>
              <w:ind w:left="0" w:right="0"/>
              <w:rPr>
                <w:rFonts w:hint="default"/>
                <w:color w:val="auto"/>
                <w:highlight w:val="none"/>
              </w:rPr>
            </w:pPr>
            <w:r>
              <w:rPr>
                <w:rFonts w:hint="eastAsia" w:ascii="仿宋" w:hAnsi="仿宋" w:eastAsia="仿宋" w:cs="仿宋"/>
                <w:color w:val="auto"/>
                <w:kern w:val="0"/>
                <w:sz w:val="24"/>
                <w:highlight w:val="none"/>
              </w:rPr>
              <w:t>检测方案</w:t>
            </w:r>
          </w:p>
        </w:tc>
        <w:tc>
          <w:tcPr>
            <w:tcW w:w="3639" w:type="dxa"/>
            <w:tcBorders>
              <w:top w:val="nil"/>
              <w:left w:val="nil"/>
              <w:bottom w:val="single" w:color="auto" w:sz="8" w:space="0"/>
              <w:right w:val="single" w:color="auto" w:sz="8" w:space="0"/>
            </w:tcBorders>
            <w:shd w:val="clear" w:color="auto" w:fill="auto"/>
            <w:tcMar>
              <w:left w:w="108" w:type="dxa"/>
              <w:right w:w="108" w:type="dxa"/>
            </w:tcMar>
          </w:tcPr>
          <w:p w14:paraId="760A20C7">
            <w:pPr>
              <w:keepNext w:val="0"/>
              <w:keepLines w:val="0"/>
              <w:widowControl/>
              <w:suppressLineNumbers w:val="0"/>
              <w:spacing w:before="0" w:beforeAutospacing="0" w:after="0" w:afterAutospacing="0"/>
              <w:ind w:left="0" w:right="0"/>
              <w:jc w:val="left"/>
              <w:rPr>
                <w:rFonts w:hint="default"/>
                <w:color w:val="auto"/>
                <w:highlight w:val="none"/>
              </w:rPr>
            </w:pPr>
            <w:r>
              <w:rPr>
                <w:rFonts w:hint="default" w:ascii="仿宋_GB2312" w:eastAsia="仿宋_GB2312" w:cs="仿宋_GB2312"/>
                <w:color w:val="auto"/>
                <w:kern w:val="0"/>
                <w:sz w:val="24"/>
                <w:highlight w:val="none"/>
              </w:rPr>
              <w:t>检测单位应配备专业技术人员。满分10分。检测人员无相关专业技术资格证书的，每发现一次扣5分，扣完为止。</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2C037AAD">
            <w:pPr>
              <w:keepNext w:val="0"/>
              <w:keepLines w:val="0"/>
              <w:widowControl/>
              <w:suppressLineNumbers w:val="0"/>
              <w:spacing w:before="0" w:beforeAutospacing="0" w:after="0" w:afterAutospacing="0"/>
              <w:ind w:left="0" w:right="0"/>
              <w:jc w:val="center"/>
              <w:rPr>
                <w:rFonts w:hint="default"/>
                <w:color w:val="auto"/>
                <w:highlight w:val="none"/>
              </w:rPr>
            </w:pPr>
            <w:r>
              <w:rPr>
                <w:rFonts w:hint="default" w:ascii="仿宋_GB2312" w:eastAsia="仿宋_GB2312" w:cs="仿宋_GB2312"/>
                <w:color w:val="auto"/>
                <w:kern w:val="0"/>
                <w:sz w:val="24"/>
                <w:highlight w:val="none"/>
              </w:rPr>
              <w:t>10</w:t>
            </w:r>
          </w:p>
        </w:tc>
        <w:tc>
          <w:tcPr>
            <w:tcW w:w="992" w:type="dxa"/>
            <w:tcBorders>
              <w:top w:val="nil"/>
              <w:left w:val="nil"/>
              <w:bottom w:val="single" w:color="auto" w:sz="8" w:space="0"/>
              <w:right w:val="single" w:color="auto" w:sz="8" w:space="0"/>
            </w:tcBorders>
            <w:shd w:val="clear" w:color="auto" w:fill="auto"/>
            <w:tcMar>
              <w:left w:w="108" w:type="dxa"/>
              <w:right w:w="108" w:type="dxa"/>
            </w:tcMar>
          </w:tcPr>
          <w:p w14:paraId="35A772E9">
            <w:pPr>
              <w:keepNext w:val="0"/>
              <w:keepLines w:val="0"/>
              <w:widowControl/>
              <w:suppressLineNumbers w:val="0"/>
              <w:spacing w:before="0" w:beforeAutospacing="0" w:after="0" w:afterAutospacing="0"/>
              <w:ind w:left="0" w:right="0"/>
              <w:jc w:val="left"/>
              <w:rPr>
                <w:rFonts w:hint="default"/>
                <w:color w:val="auto"/>
                <w:highlight w:val="none"/>
              </w:rPr>
            </w:pPr>
            <w:r>
              <w:rPr>
                <w:rFonts w:hint="default" w:ascii="仿宋_GB2312" w:eastAsia="仿宋_GB2312" w:cs="仿宋_GB2312"/>
                <w:color w:val="auto"/>
                <w:kern w:val="0"/>
                <w:sz w:val="24"/>
                <w:highlight w:val="none"/>
              </w:rPr>
              <w:t> </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32A8C56E">
            <w:pPr>
              <w:keepNext w:val="0"/>
              <w:keepLines w:val="0"/>
              <w:widowControl/>
              <w:suppressLineNumbers w:val="0"/>
              <w:spacing w:before="0" w:beforeAutospacing="0" w:after="0" w:afterAutospacing="0"/>
              <w:ind w:left="0" w:right="0"/>
              <w:rPr>
                <w:rFonts w:hint="default"/>
                <w:color w:val="auto"/>
                <w:highlight w:val="none"/>
              </w:rPr>
            </w:pPr>
            <w:r>
              <w:rPr>
                <w:rFonts w:hint="default" w:ascii="仿宋_GB2312" w:eastAsia="仿宋_GB2312" w:cs="仿宋_GB2312"/>
                <w:color w:val="auto"/>
                <w:kern w:val="0"/>
                <w:sz w:val="24"/>
                <w:highlight w:val="none"/>
              </w:rPr>
              <w:t> </w:t>
            </w:r>
          </w:p>
        </w:tc>
      </w:tr>
      <w:tr w14:paraId="40FD504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4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ECC40BF">
            <w:pPr>
              <w:keepNext w:val="0"/>
              <w:keepLines w:val="0"/>
              <w:suppressLineNumbers w:val="0"/>
              <w:spacing w:before="0" w:beforeAutospacing="0" w:after="0" w:afterAutospacing="0"/>
              <w:ind w:left="0" w:right="0"/>
              <w:rPr>
                <w:rFonts w:hint="default" w:ascii="宋体"/>
                <w:color w:val="auto"/>
                <w:sz w:val="24"/>
                <w:highlight w:val="none"/>
              </w:rPr>
            </w:pPr>
          </w:p>
        </w:tc>
        <w:tc>
          <w:tcPr>
            <w:tcW w:w="20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14:paraId="0F49DF49">
            <w:pPr>
              <w:keepNext w:val="0"/>
              <w:keepLines w:val="0"/>
              <w:suppressLineNumbers w:val="0"/>
              <w:spacing w:before="0" w:beforeAutospacing="0" w:after="0" w:afterAutospacing="0"/>
              <w:ind w:left="0" w:right="0"/>
              <w:rPr>
                <w:rFonts w:hint="default" w:ascii="宋体"/>
                <w:color w:val="auto"/>
                <w:sz w:val="24"/>
                <w:highlight w:val="none"/>
              </w:rPr>
            </w:pPr>
          </w:p>
        </w:tc>
        <w:tc>
          <w:tcPr>
            <w:tcW w:w="3639" w:type="dxa"/>
            <w:tcBorders>
              <w:top w:val="nil"/>
              <w:left w:val="nil"/>
              <w:bottom w:val="single" w:color="auto" w:sz="8" w:space="0"/>
              <w:right w:val="single" w:color="auto" w:sz="8" w:space="0"/>
            </w:tcBorders>
            <w:shd w:val="clear" w:color="auto" w:fill="auto"/>
            <w:tcMar>
              <w:left w:w="108" w:type="dxa"/>
              <w:right w:w="108" w:type="dxa"/>
            </w:tcMar>
          </w:tcPr>
          <w:p w14:paraId="0DEBB3A1">
            <w:pPr>
              <w:keepNext w:val="0"/>
              <w:keepLines w:val="0"/>
              <w:widowControl/>
              <w:suppressLineNumbers w:val="0"/>
              <w:spacing w:before="0" w:beforeAutospacing="0" w:after="0" w:afterAutospacing="0"/>
              <w:ind w:left="0" w:right="0"/>
              <w:rPr>
                <w:rFonts w:hint="default"/>
                <w:color w:val="auto"/>
                <w:highlight w:val="none"/>
              </w:rPr>
            </w:pPr>
            <w:r>
              <w:rPr>
                <w:rFonts w:hint="default" w:ascii="仿宋_GB2312" w:eastAsia="仿宋_GB2312" w:cs="仿宋_GB2312"/>
                <w:color w:val="auto"/>
                <w:kern w:val="0"/>
                <w:sz w:val="24"/>
                <w:highlight w:val="none"/>
              </w:rPr>
              <w:t>试验设备、器具配具齐全有效，</w:t>
            </w:r>
            <w:r>
              <w:rPr>
                <w:rFonts w:hint="eastAsia" w:ascii="仿宋" w:hAnsi="仿宋" w:eastAsia="仿宋" w:cs="仿宋"/>
                <w:color w:val="auto"/>
                <w:kern w:val="0"/>
                <w:sz w:val="24"/>
                <w:highlight w:val="none"/>
              </w:rPr>
              <w:t>检测仪器设备按规定检定合格后使用，</w:t>
            </w:r>
            <w:r>
              <w:rPr>
                <w:rFonts w:hint="default" w:ascii="仿宋_GB2312" w:eastAsia="仿宋_GB2312" w:cs="仿宋_GB2312"/>
                <w:color w:val="auto"/>
                <w:kern w:val="0"/>
                <w:sz w:val="24"/>
                <w:highlight w:val="none"/>
              </w:rPr>
              <w:t>满分10分。未按规定检定合格，</w:t>
            </w:r>
            <w:r>
              <w:rPr>
                <w:rFonts w:hint="eastAsia" w:ascii="仿宋" w:hAnsi="仿宋" w:eastAsia="仿宋" w:cs="仿宋"/>
                <w:color w:val="auto"/>
                <w:kern w:val="0"/>
                <w:sz w:val="24"/>
                <w:highlight w:val="none"/>
              </w:rPr>
              <w:t>每</w:t>
            </w:r>
            <w:r>
              <w:rPr>
                <w:rFonts w:hint="default" w:ascii="仿宋_GB2312" w:eastAsia="仿宋_GB2312" w:cs="仿宋_GB2312"/>
                <w:color w:val="auto"/>
                <w:kern w:val="0"/>
                <w:sz w:val="24"/>
                <w:highlight w:val="none"/>
              </w:rPr>
              <w:t>发现一次扣5分，扣完为止。</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4C809AFF">
            <w:pPr>
              <w:keepNext w:val="0"/>
              <w:keepLines w:val="0"/>
              <w:widowControl/>
              <w:suppressLineNumbers w:val="0"/>
              <w:spacing w:before="0" w:beforeAutospacing="0" w:after="0" w:afterAutospacing="0"/>
              <w:ind w:left="0" w:right="0"/>
              <w:jc w:val="center"/>
              <w:rPr>
                <w:rFonts w:hint="default"/>
                <w:color w:val="auto"/>
                <w:highlight w:val="none"/>
              </w:rPr>
            </w:pPr>
            <w:r>
              <w:rPr>
                <w:rFonts w:hint="default" w:ascii="仿宋_GB2312" w:eastAsia="仿宋_GB2312" w:cs="仿宋_GB2312"/>
                <w:color w:val="auto"/>
                <w:kern w:val="0"/>
                <w:sz w:val="24"/>
                <w:highlight w:val="none"/>
              </w:rPr>
              <w:t>10</w:t>
            </w:r>
          </w:p>
        </w:tc>
        <w:tc>
          <w:tcPr>
            <w:tcW w:w="992" w:type="dxa"/>
            <w:tcBorders>
              <w:top w:val="nil"/>
              <w:left w:val="nil"/>
              <w:bottom w:val="single" w:color="auto" w:sz="8" w:space="0"/>
              <w:right w:val="single" w:color="auto" w:sz="8" w:space="0"/>
            </w:tcBorders>
            <w:shd w:val="clear" w:color="auto" w:fill="auto"/>
            <w:tcMar>
              <w:left w:w="108" w:type="dxa"/>
              <w:right w:w="108" w:type="dxa"/>
            </w:tcMar>
          </w:tcPr>
          <w:p w14:paraId="05E8146B">
            <w:pPr>
              <w:keepNext w:val="0"/>
              <w:keepLines w:val="0"/>
              <w:widowControl/>
              <w:suppressLineNumbers w:val="0"/>
              <w:spacing w:before="0" w:beforeAutospacing="0" w:after="0" w:afterAutospacing="0"/>
              <w:ind w:left="0" w:right="0"/>
              <w:jc w:val="left"/>
              <w:rPr>
                <w:rFonts w:hint="default"/>
                <w:color w:val="auto"/>
                <w:highlight w:val="none"/>
              </w:rPr>
            </w:pPr>
            <w:r>
              <w:rPr>
                <w:rFonts w:hint="default" w:ascii="仿宋_GB2312" w:eastAsia="仿宋_GB2312" w:cs="仿宋_GB2312"/>
                <w:color w:val="auto"/>
                <w:kern w:val="0"/>
                <w:sz w:val="24"/>
                <w:highlight w:val="none"/>
              </w:rPr>
              <w:t> </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2DF3AF1E">
            <w:pPr>
              <w:keepNext w:val="0"/>
              <w:keepLines w:val="0"/>
              <w:widowControl/>
              <w:suppressLineNumbers w:val="0"/>
              <w:spacing w:before="0" w:beforeAutospacing="0" w:after="0" w:afterAutospacing="0"/>
              <w:ind w:left="0" w:right="0"/>
              <w:rPr>
                <w:rFonts w:hint="default"/>
                <w:color w:val="auto"/>
                <w:highlight w:val="none"/>
              </w:rPr>
            </w:pPr>
            <w:r>
              <w:rPr>
                <w:rFonts w:hint="default" w:ascii="仿宋_GB2312" w:eastAsia="仿宋_GB2312" w:cs="仿宋_GB2312"/>
                <w:color w:val="auto"/>
                <w:kern w:val="0"/>
                <w:sz w:val="24"/>
                <w:highlight w:val="none"/>
              </w:rPr>
              <w:t> </w:t>
            </w:r>
          </w:p>
        </w:tc>
      </w:tr>
      <w:tr w14:paraId="37AE29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4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D3369D3">
            <w:pPr>
              <w:keepNext w:val="0"/>
              <w:keepLines w:val="0"/>
              <w:suppressLineNumbers w:val="0"/>
              <w:spacing w:before="0" w:beforeAutospacing="0" w:after="0" w:afterAutospacing="0"/>
              <w:ind w:left="0" w:right="0"/>
              <w:rPr>
                <w:rFonts w:hint="default" w:ascii="宋体"/>
                <w:color w:val="auto"/>
                <w:sz w:val="24"/>
                <w:highlight w:val="none"/>
              </w:rPr>
            </w:pPr>
          </w:p>
        </w:tc>
        <w:tc>
          <w:tcPr>
            <w:tcW w:w="20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14:paraId="526AA539">
            <w:pPr>
              <w:keepNext w:val="0"/>
              <w:keepLines w:val="0"/>
              <w:suppressLineNumbers w:val="0"/>
              <w:spacing w:before="0" w:beforeAutospacing="0" w:after="0" w:afterAutospacing="0"/>
              <w:ind w:left="0" w:right="0"/>
              <w:rPr>
                <w:rFonts w:hint="default" w:ascii="宋体"/>
                <w:color w:val="auto"/>
                <w:sz w:val="24"/>
                <w:highlight w:val="none"/>
              </w:rPr>
            </w:pPr>
          </w:p>
        </w:tc>
        <w:tc>
          <w:tcPr>
            <w:tcW w:w="3639" w:type="dxa"/>
            <w:tcBorders>
              <w:top w:val="nil"/>
              <w:left w:val="nil"/>
              <w:bottom w:val="single" w:color="auto" w:sz="8" w:space="0"/>
              <w:right w:val="single" w:color="auto" w:sz="8" w:space="0"/>
            </w:tcBorders>
            <w:shd w:val="clear" w:color="auto" w:fill="auto"/>
            <w:tcMar>
              <w:left w:w="108" w:type="dxa"/>
              <w:right w:w="108" w:type="dxa"/>
            </w:tcMar>
          </w:tcPr>
          <w:p w14:paraId="5674E464">
            <w:pPr>
              <w:keepNext w:val="0"/>
              <w:keepLines w:val="0"/>
              <w:widowControl/>
              <w:suppressLineNumbers w:val="0"/>
              <w:spacing w:before="0" w:beforeAutospacing="0" w:after="0" w:afterAutospacing="0"/>
              <w:ind w:left="0" w:right="0"/>
              <w:jc w:val="left"/>
              <w:rPr>
                <w:rFonts w:hint="default"/>
                <w:color w:val="auto"/>
                <w:highlight w:val="none"/>
              </w:rPr>
            </w:pPr>
            <w:r>
              <w:rPr>
                <w:rFonts w:hint="default" w:ascii="仿宋_GB2312" w:eastAsia="仿宋_GB2312" w:cs="仿宋_GB2312"/>
                <w:color w:val="auto"/>
                <w:kern w:val="0"/>
                <w:sz w:val="24"/>
                <w:highlight w:val="none"/>
              </w:rPr>
              <w:t>项目委托后，编制检测方案报建设单位审批。满分10分。未编制检测方案的扣10分，编制的方案缺乏针对性的扣5分，扣完为止。</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6D9356F7">
            <w:pPr>
              <w:keepNext w:val="0"/>
              <w:keepLines w:val="0"/>
              <w:widowControl/>
              <w:suppressLineNumbers w:val="0"/>
              <w:spacing w:before="0" w:beforeAutospacing="0" w:after="0" w:afterAutospacing="0"/>
              <w:ind w:left="0" w:right="0"/>
              <w:jc w:val="center"/>
              <w:rPr>
                <w:rFonts w:hint="default"/>
                <w:color w:val="auto"/>
                <w:highlight w:val="none"/>
              </w:rPr>
            </w:pPr>
            <w:r>
              <w:rPr>
                <w:rFonts w:hint="default" w:ascii="仿宋_GB2312" w:eastAsia="仿宋_GB2312" w:cs="仿宋_GB2312"/>
                <w:color w:val="auto"/>
                <w:kern w:val="0"/>
                <w:sz w:val="24"/>
                <w:highlight w:val="none"/>
              </w:rPr>
              <w:t>10</w:t>
            </w:r>
          </w:p>
        </w:tc>
        <w:tc>
          <w:tcPr>
            <w:tcW w:w="992" w:type="dxa"/>
            <w:tcBorders>
              <w:top w:val="nil"/>
              <w:left w:val="nil"/>
              <w:bottom w:val="single" w:color="auto" w:sz="8" w:space="0"/>
              <w:right w:val="single" w:color="auto" w:sz="8" w:space="0"/>
            </w:tcBorders>
            <w:shd w:val="clear" w:color="auto" w:fill="auto"/>
            <w:tcMar>
              <w:left w:w="108" w:type="dxa"/>
              <w:right w:w="108" w:type="dxa"/>
            </w:tcMar>
          </w:tcPr>
          <w:p w14:paraId="686B7ED5">
            <w:pPr>
              <w:keepNext w:val="0"/>
              <w:keepLines w:val="0"/>
              <w:widowControl/>
              <w:suppressLineNumbers w:val="0"/>
              <w:spacing w:before="0" w:beforeAutospacing="0" w:after="0" w:afterAutospacing="0"/>
              <w:ind w:left="0" w:right="0"/>
              <w:jc w:val="left"/>
              <w:rPr>
                <w:rFonts w:hint="default"/>
                <w:color w:val="auto"/>
                <w:highlight w:val="none"/>
              </w:rPr>
            </w:pPr>
            <w:r>
              <w:rPr>
                <w:rFonts w:hint="default" w:ascii="仿宋_GB2312" w:eastAsia="仿宋_GB2312" w:cs="仿宋_GB2312"/>
                <w:color w:val="auto"/>
                <w:kern w:val="0"/>
                <w:sz w:val="24"/>
                <w:highlight w:val="none"/>
              </w:rPr>
              <w:t> </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62B9A953">
            <w:pPr>
              <w:keepNext w:val="0"/>
              <w:keepLines w:val="0"/>
              <w:widowControl/>
              <w:suppressLineNumbers w:val="0"/>
              <w:spacing w:before="0" w:beforeAutospacing="0" w:after="0" w:afterAutospacing="0"/>
              <w:ind w:left="0" w:right="0"/>
              <w:rPr>
                <w:rFonts w:hint="default"/>
                <w:color w:val="auto"/>
                <w:highlight w:val="none"/>
              </w:rPr>
            </w:pPr>
            <w:r>
              <w:rPr>
                <w:rFonts w:hint="default" w:ascii="仿宋_GB2312" w:eastAsia="仿宋_GB2312" w:cs="仿宋_GB2312"/>
                <w:color w:val="auto"/>
                <w:kern w:val="0"/>
                <w:sz w:val="24"/>
                <w:highlight w:val="none"/>
              </w:rPr>
              <w:t> </w:t>
            </w:r>
          </w:p>
        </w:tc>
      </w:tr>
      <w:tr w14:paraId="2EE3F4F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46"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00D1385">
            <w:pPr>
              <w:keepNext w:val="0"/>
              <w:keepLines w:val="0"/>
              <w:widowControl/>
              <w:suppressLineNumbers w:val="0"/>
              <w:spacing w:before="0" w:beforeAutospacing="0" w:after="0" w:afterAutospacing="0"/>
              <w:ind w:left="0" w:right="0"/>
              <w:jc w:val="center"/>
              <w:rPr>
                <w:rFonts w:hint="default"/>
                <w:color w:val="auto"/>
                <w:highlight w:val="none"/>
              </w:rPr>
            </w:pPr>
            <w:r>
              <w:rPr>
                <w:rFonts w:hint="default" w:ascii="仿宋_GB2312" w:eastAsia="仿宋_GB2312" w:cs="仿宋_GB2312"/>
                <w:color w:val="auto"/>
                <w:kern w:val="0"/>
                <w:sz w:val="24"/>
                <w:highlight w:val="none"/>
              </w:rPr>
              <w:t>2</w:t>
            </w:r>
          </w:p>
        </w:tc>
        <w:tc>
          <w:tcPr>
            <w:tcW w:w="206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14:paraId="0F40EDA1">
            <w:pPr>
              <w:keepNext w:val="0"/>
              <w:keepLines w:val="0"/>
              <w:widowControl/>
              <w:suppressLineNumbers w:val="0"/>
              <w:spacing w:before="0" w:beforeAutospacing="0" w:after="0" w:afterAutospacing="0"/>
              <w:ind w:left="0" w:right="0"/>
              <w:rPr>
                <w:rFonts w:hint="default"/>
                <w:color w:val="auto"/>
                <w:highlight w:val="none"/>
              </w:rPr>
            </w:pPr>
            <w:r>
              <w:rPr>
                <w:rFonts w:hint="default" w:ascii="仿宋_GB2312" w:eastAsia="仿宋_GB2312" w:cs="仿宋_GB2312"/>
                <w:color w:val="auto"/>
                <w:kern w:val="0"/>
                <w:sz w:val="24"/>
                <w:highlight w:val="none"/>
              </w:rPr>
              <w:t>检测服务</w:t>
            </w:r>
          </w:p>
        </w:tc>
        <w:tc>
          <w:tcPr>
            <w:tcW w:w="3639" w:type="dxa"/>
            <w:tcBorders>
              <w:top w:val="nil"/>
              <w:left w:val="nil"/>
              <w:bottom w:val="single" w:color="auto" w:sz="8" w:space="0"/>
              <w:right w:val="single" w:color="auto" w:sz="8" w:space="0"/>
            </w:tcBorders>
            <w:shd w:val="clear" w:color="auto" w:fill="auto"/>
            <w:tcMar>
              <w:left w:w="108" w:type="dxa"/>
              <w:right w:w="108" w:type="dxa"/>
            </w:tcMar>
          </w:tcPr>
          <w:p w14:paraId="0B929799">
            <w:pPr>
              <w:keepNext w:val="0"/>
              <w:keepLines w:val="0"/>
              <w:widowControl/>
              <w:suppressLineNumbers w:val="0"/>
              <w:spacing w:before="0" w:beforeAutospacing="0" w:after="0" w:afterAutospacing="0"/>
              <w:ind w:left="0" w:right="0"/>
              <w:jc w:val="left"/>
              <w:rPr>
                <w:rFonts w:hint="default"/>
                <w:color w:val="auto"/>
                <w:highlight w:val="none"/>
              </w:rPr>
            </w:pPr>
            <w:r>
              <w:rPr>
                <w:rFonts w:hint="eastAsia" w:ascii="仿宋" w:hAnsi="仿宋" w:eastAsia="仿宋" w:cs="仿宋"/>
                <w:color w:val="auto"/>
                <w:kern w:val="0"/>
                <w:sz w:val="24"/>
                <w:highlight w:val="none"/>
              </w:rPr>
              <w:t>检测单位应按建设单位通知时间进行检测。满分10分。因检测单位未按建设单位通知时间检测导致工期延误，每次扣5分</w:t>
            </w:r>
            <w:r>
              <w:rPr>
                <w:rFonts w:hint="default" w:ascii="仿宋_GB2312" w:eastAsia="仿宋_GB2312" w:cs="仿宋_GB2312"/>
                <w:color w:val="auto"/>
                <w:kern w:val="0"/>
                <w:sz w:val="24"/>
                <w:highlight w:val="none"/>
              </w:rPr>
              <w:t>，扣完为止</w:t>
            </w:r>
            <w:r>
              <w:rPr>
                <w:rFonts w:hint="eastAsia" w:ascii="仿宋" w:hAnsi="仿宋" w:eastAsia="仿宋" w:cs="仿宋"/>
                <w:color w:val="auto"/>
                <w:kern w:val="0"/>
                <w:sz w:val="24"/>
                <w:highlight w:val="none"/>
              </w:rPr>
              <w:t>。</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1C56CB3B">
            <w:pPr>
              <w:keepNext w:val="0"/>
              <w:keepLines w:val="0"/>
              <w:widowControl/>
              <w:suppressLineNumbers w:val="0"/>
              <w:spacing w:before="0" w:beforeAutospacing="0" w:after="0" w:afterAutospacing="0"/>
              <w:ind w:left="0" w:right="0"/>
              <w:jc w:val="center"/>
              <w:rPr>
                <w:rFonts w:hint="default"/>
                <w:color w:val="auto"/>
                <w:highlight w:val="none"/>
              </w:rPr>
            </w:pPr>
            <w:r>
              <w:rPr>
                <w:rFonts w:hint="default" w:ascii="仿宋_GB2312" w:eastAsia="仿宋_GB2312" w:cs="仿宋_GB2312"/>
                <w:color w:val="auto"/>
                <w:kern w:val="0"/>
                <w:sz w:val="24"/>
                <w:highlight w:val="none"/>
              </w:rPr>
              <w:t>10</w:t>
            </w:r>
          </w:p>
        </w:tc>
        <w:tc>
          <w:tcPr>
            <w:tcW w:w="992" w:type="dxa"/>
            <w:tcBorders>
              <w:top w:val="nil"/>
              <w:left w:val="nil"/>
              <w:bottom w:val="single" w:color="auto" w:sz="8" w:space="0"/>
              <w:right w:val="single" w:color="auto" w:sz="8" w:space="0"/>
            </w:tcBorders>
            <w:shd w:val="clear" w:color="auto" w:fill="auto"/>
            <w:tcMar>
              <w:left w:w="108" w:type="dxa"/>
              <w:right w:w="108" w:type="dxa"/>
            </w:tcMar>
          </w:tcPr>
          <w:p w14:paraId="61330A0F">
            <w:pPr>
              <w:keepNext w:val="0"/>
              <w:keepLines w:val="0"/>
              <w:widowControl/>
              <w:suppressLineNumbers w:val="0"/>
              <w:spacing w:before="0" w:beforeAutospacing="0" w:after="0" w:afterAutospacing="0"/>
              <w:ind w:left="0" w:right="0"/>
              <w:jc w:val="left"/>
              <w:rPr>
                <w:rFonts w:hint="default"/>
                <w:color w:val="auto"/>
                <w:highlight w:val="none"/>
              </w:rPr>
            </w:pPr>
            <w:r>
              <w:rPr>
                <w:rFonts w:hint="default" w:ascii="仿宋_GB2312" w:eastAsia="仿宋_GB2312" w:cs="仿宋_GB2312"/>
                <w:color w:val="auto"/>
                <w:kern w:val="0"/>
                <w:sz w:val="24"/>
                <w:highlight w:val="none"/>
              </w:rPr>
              <w:t> </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0758B1AB">
            <w:pPr>
              <w:keepNext w:val="0"/>
              <w:keepLines w:val="0"/>
              <w:widowControl/>
              <w:suppressLineNumbers w:val="0"/>
              <w:spacing w:before="0" w:beforeAutospacing="0" w:after="0" w:afterAutospacing="0"/>
              <w:ind w:left="0" w:right="0"/>
              <w:rPr>
                <w:rFonts w:hint="default"/>
                <w:color w:val="auto"/>
                <w:highlight w:val="none"/>
              </w:rPr>
            </w:pPr>
            <w:r>
              <w:rPr>
                <w:rFonts w:hint="default" w:ascii="仿宋_GB2312" w:eastAsia="仿宋_GB2312" w:cs="仿宋_GB2312"/>
                <w:color w:val="auto"/>
                <w:kern w:val="0"/>
                <w:sz w:val="24"/>
                <w:highlight w:val="none"/>
              </w:rPr>
              <w:t> </w:t>
            </w:r>
          </w:p>
        </w:tc>
      </w:tr>
      <w:tr w14:paraId="6531A81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4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6CE3E2C">
            <w:pPr>
              <w:keepNext w:val="0"/>
              <w:keepLines w:val="0"/>
              <w:suppressLineNumbers w:val="0"/>
              <w:spacing w:before="0" w:beforeAutospacing="0" w:after="0" w:afterAutospacing="0"/>
              <w:ind w:left="0" w:right="0"/>
              <w:rPr>
                <w:rFonts w:hint="default" w:ascii="宋体"/>
                <w:color w:val="auto"/>
                <w:sz w:val="24"/>
                <w:highlight w:val="none"/>
              </w:rPr>
            </w:pPr>
          </w:p>
        </w:tc>
        <w:tc>
          <w:tcPr>
            <w:tcW w:w="20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14:paraId="4C67DE3B">
            <w:pPr>
              <w:keepNext w:val="0"/>
              <w:keepLines w:val="0"/>
              <w:suppressLineNumbers w:val="0"/>
              <w:spacing w:before="0" w:beforeAutospacing="0" w:after="0" w:afterAutospacing="0"/>
              <w:ind w:left="0" w:right="0"/>
              <w:rPr>
                <w:rFonts w:hint="default" w:ascii="宋体"/>
                <w:color w:val="auto"/>
                <w:sz w:val="24"/>
                <w:highlight w:val="none"/>
              </w:rPr>
            </w:pPr>
          </w:p>
        </w:tc>
        <w:tc>
          <w:tcPr>
            <w:tcW w:w="3639" w:type="dxa"/>
            <w:tcBorders>
              <w:top w:val="nil"/>
              <w:left w:val="nil"/>
              <w:bottom w:val="single" w:color="auto" w:sz="8" w:space="0"/>
              <w:right w:val="single" w:color="auto" w:sz="8" w:space="0"/>
            </w:tcBorders>
            <w:shd w:val="clear" w:color="auto" w:fill="auto"/>
            <w:tcMar>
              <w:left w:w="108" w:type="dxa"/>
              <w:right w:w="108" w:type="dxa"/>
            </w:tcMar>
          </w:tcPr>
          <w:p w14:paraId="0477D19A">
            <w:pPr>
              <w:keepNext w:val="0"/>
              <w:keepLines w:val="0"/>
              <w:widowControl/>
              <w:suppressLineNumbers w:val="0"/>
              <w:spacing w:before="0" w:beforeAutospacing="0" w:after="0" w:afterAutospacing="0"/>
              <w:ind w:left="0" w:right="0"/>
              <w:jc w:val="left"/>
              <w:rPr>
                <w:rFonts w:hint="default"/>
                <w:color w:val="auto"/>
                <w:highlight w:val="none"/>
              </w:rPr>
            </w:pPr>
            <w:r>
              <w:rPr>
                <w:rFonts w:hint="eastAsia" w:ascii="仿宋" w:hAnsi="仿宋" w:eastAsia="仿宋" w:cs="仿宋"/>
                <w:color w:val="auto"/>
                <w:kern w:val="0"/>
                <w:sz w:val="24"/>
                <w:highlight w:val="none"/>
              </w:rPr>
              <w:t>检测频率应符合相关法律法规规定要求。满分10分，未能满足要求，每次扣5分</w:t>
            </w:r>
            <w:r>
              <w:rPr>
                <w:rFonts w:hint="default" w:ascii="仿宋_GB2312" w:eastAsia="仿宋_GB2312" w:cs="仿宋_GB2312"/>
                <w:color w:val="auto"/>
                <w:kern w:val="0"/>
                <w:sz w:val="24"/>
                <w:highlight w:val="none"/>
              </w:rPr>
              <w:t>，扣完为止</w:t>
            </w:r>
            <w:r>
              <w:rPr>
                <w:rFonts w:hint="eastAsia" w:ascii="仿宋" w:hAnsi="仿宋" w:eastAsia="仿宋" w:cs="仿宋"/>
                <w:color w:val="auto"/>
                <w:kern w:val="0"/>
                <w:sz w:val="24"/>
                <w:highlight w:val="none"/>
              </w:rPr>
              <w:t>。</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209A0718">
            <w:pPr>
              <w:keepNext w:val="0"/>
              <w:keepLines w:val="0"/>
              <w:widowControl/>
              <w:suppressLineNumbers w:val="0"/>
              <w:spacing w:before="0" w:beforeAutospacing="0" w:after="0" w:afterAutospacing="0"/>
              <w:ind w:left="0" w:right="0"/>
              <w:jc w:val="center"/>
              <w:rPr>
                <w:rFonts w:hint="default"/>
                <w:color w:val="auto"/>
                <w:highlight w:val="none"/>
              </w:rPr>
            </w:pPr>
            <w:r>
              <w:rPr>
                <w:rFonts w:hint="default" w:ascii="仿宋_GB2312" w:eastAsia="仿宋_GB2312" w:cs="仿宋_GB2312"/>
                <w:color w:val="auto"/>
                <w:kern w:val="0"/>
                <w:sz w:val="24"/>
                <w:highlight w:val="none"/>
              </w:rPr>
              <w:t>10</w:t>
            </w:r>
          </w:p>
        </w:tc>
        <w:tc>
          <w:tcPr>
            <w:tcW w:w="992" w:type="dxa"/>
            <w:tcBorders>
              <w:top w:val="nil"/>
              <w:left w:val="nil"/>
              <w:bottom w:val="single" w:color="auto" w:sz="8" w:space="0"/>
              <w:right w:val="single" w:color="auto" w:sz="8" w:space="0"/>
            </w:tcBorders>
            <w:shd w:val="clear" w:color="auto" w:fill="auto"/>
            <w:tcMar>
              <w:left w:w="108" w:type="dxa"/>
              <w:right w:w="108" w:type="dxa"/>
            </w:tcMar>
          </w:tcPr>
          <w:p w14:paraId="649ED50A">
            <w:pPr>
              <w:keepNext w:val="0"/>
              <w:keepLines w:val="0"/>
              <w:widowControl/>
              <w:suppressLineNumbers w:val="0"/>
              <w:spacing w:before="0" w:beforeAutospacing="0" w:after="0" w:afterAutospacing="0"/>
              <w:ind w:left="0" w:right="0"/>
              <w:jc w:val="left"/>
              <w:rPr>
                <w:rFonts w:hint="default"/>
                <w:color w:val="auto"/>
                <w:highlight w:val="none"/>
              </w:rPr>
            </w:pPr>
            <w:r>
              <w:rPr>
                <w:rFonts w:hint="default" w:ascii="仿宋_GB2312" w:eastAsia="仿宋_GB2312" w:cs="仿宋_GB2312"/>
                <w:color w:val="auto"/>
                <w:kern w:val="0"/>
                <w:sz w:val="24"/>
                <w:highlight w:val="none"/>
              </w:rPr>
              <w:t> </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48EA21E7">
            <w:pPr>
              <w:keepNext w:val="0"/>
              <w:keepLines w:val="0"/>
              <w:widowControl/>
              <w:suppressLineNumbers w:val="0"/>
              <w:spacing w:before="0" w:beforeAutospacing="0" w:after="0" w:afterAutospacing="0"/>
              <w:ind w:left="0" w:right="0"/>
              <w:rPr>
                <w:rFonts w:hint="default"/>
                <w:color w:val="auto"/>
                <w:highlight w:val="none"/>
              </w:rPr>
            </w:pPr>
            <w:r>
              <w:rPr>
                <w:rFonts w:hint="default" w:ascii="仿宋_GB2312" w:eastAsia="仿宋_GB2312" w:cs="仿宋_GB2312"/>
                <w:color w:val="auto"/>
                <w:kern w:val="0"/>
                <w:sz w:val="24"/>
                <w:highlight w:val="none"/>
              </w:rPr>
              <w:t> </w:t>
            </w:r>
          </w:p>
        </w:tc>
      </w:tr>
      <w:tr w14:paraId="78DF6D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4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56F69C9">
            <w:pPr>
              <w:keepNext w:val="0"/>
              <w:keepLines w:val="0"/>
              <w:suppressLineNumbers w:val="0"/>
              <w:spacing w:before="0" w:beforeAutospacing="0" w:after="0" w:afterAutospacing="0"/>
              <w:ind w:left="0" w:right="0"/>
              <w:rPr>
                <w:rFonts w:hint="default" w:ascii="宋体"/>
                <w:color w:val="auto"/>
                <w:sz w:val="24"/>
                <w:highlight w:val="none"/>
              </w:rPr>
            </w:pPr>
          </w:p>
        </w:tc>
        <w:tc>
          <w:tcPr>
            <w:tcW w:w="20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14:paraId="70059458">
            <w:pPr>
              <w:keepNext w:val="0"/>
              <w:keepLines w:val="0"/>
              <w:suppressLineNumbers w:val="0"/>
              <w:spacing w:before="0" w:beforeAutospacing="0" w:after="0" w:afterAutospacing="0"/>
              <w:ind w:left="0" w:right="0"/>
              <w:rPr>
                <w:rFonts w:hint="default" w:ascii="宋体"/>
                <w:color w:val="auto"/>
                <w:sz w:val="24"/>
                <w:highlight w:val="none"/>
              </w:rPr>
            </w:pPr>
          </w:p>
        </w:tc>
        <w:tc>
          <w:tcPr>
            <w:tcW w:w="3639" w:type="dxa"/>
            <w:tcBorders>
              <w:top w:val="nil"/>
              <w:left w:val="nil"/>
              <w:bottom w:val="single" w:color="auto" w:sz="8" w:space="0"/>
              <w:right w:val="single" w:color="auto" w:sz="8" w:space="0"/>
            </w:tcBorders>
            <w:shd w:val="clear" w:color="auto" w:fill="auto"/>
            <w:tcMar>
              <w:left w:w="108" w:type="dxa"/>
              <w:right w:w="108" w:type="dxa"/>
            </w:tcMar>
          </w:tcPr>
          <w:p w14:paraId="785FCDD6">
            <w:pPr>
              <w:keepNext w:val="0"/>
              <w:keepLines w:val="0"/>
              <w:widowControl/>
              <w:suppressLineNumbers w:val="0"/>
              <w:spacing w:before="0" w:beforeAutospacing="0" w:after="0" w:afterAutospacing="0"/>
              <w:ind w:left="0" w:right="0"/>
              <w:jc w:val="left"/>
              <w:rPr>
                <w:rFonts w:hint="default"/>
                <w:color w:val="auto"/>
                <w:highlight w:val="none"/>
              </w:rPr>
            </w:pPr>
            <w:r>
              <w:rPr>
                <w:rFonts w:hint="eastAsia" w:ascii="仿宋" w:hAnsi="仿宋" w:eastAsia="仿宋" w:cs="仿宋"/>
                <w:color w:val="auto"/>
                <w:kern w:val="0"/>
                <w:sz w:val="24"/>
                <w:highlight w:val="none"/>
              </w:rPr>
              <w:t>检测结果应真实有效，并在第一时间以正式书面形式报送建设单位和监理单位。满分10分。未能在规定时间报送的，每次扣5分</w:t>
            </w:r>
            <w:r>
              <w:rPr>
                <w:rFonts w:hint="default" w:ascii="仿宋_GB2312" w:eastAsia="仿宋_GB2312" w:cs="仿宋_GB2312"/>
                <w:color w:val="auto"/>
                <w:kern w:val="0"/>
                <w:sz w:val="24"/>
                <w:highlight w:val="none"/>
              </w:rPr>
              <w:t>，扣完为止</w:t>
            </w:r>
            <w:r>
              <w:rPr>
                <w:rFonts w:hint="eastAsia" w:ascii="仿宋" w:hAnsi="仿宋" w:eastAsia="仿宋" w:cs="仿宋"/>
                <w:color w:val="auto"/>
                <w:kern w:val="0"/>
                <w:sz w:val="24"/>
                <w:highlight w:val="none"/>
              </w:rPr>
              <w:t>。</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4A81A470">
            <w:pPr>
              <w:keepNext w:val="0"/>
              <w:keepLines w:val="0"/>
              <w:widowControl/>
              <w:suppressLineNumbers w:val="0"/>
              <w:spacing w:before="0" w:beforeAutospacing="0" w:after="0" w:afterAutospacing="0"/>
              <w:ind w:left="0" w:right="0"/>
              <w:jc w:val="center"/>
              <w:rPr>
                <w:rFonts w:hint="default"/>
                <w:color w:val="auto"/>
                <w:highlight w:val="none"/>
              </w:rPr>
            </w:pPr>
            <w:r>
              <w:rPr>
                <w:rFonts w:hint="default" w:ascii="仿宋_GB2312" w:eastAsia="仿宋_GB2312" w:cs="仿宋_GB2312"/>
                <w:color w:val="auto"/>
                <w:kern w:val="0"/>
                <w:sz w:val="24"/>
                <w:highlight w:val="none"/>
              </w:rPr>
              <w:t>10</w:t>
            </w:r>
          </w:p>
        </w:tc>
        <w:tc>
          <w:tcPr>
            <w:tcW w:w="992" w:type="dxa"/>
            <w:tcBorders>
              <w:top w:val="nil"/>
              <w:left w:val="nil"/>
              <w:bottom w:val="single" w:color="auto" w:sz="8" w:space="0"/>
              <w:right w:val="single" w:color="auto" w:sz="8" w:space="0"/>
            </w:tcBorders>
            <w:shd w:val="clear" w:color="auto" w:fill="auto"/>
            <w:tcMar>
              <w:left w:w="108" w:type="dxa"/>
              <w:right w:w="108" w:type="dxa"/>
            </w:tcMar>
          </w:tcPr>
          <w:p w14:paraId="1B06BBE6">
            <w:pPr>
              <w:keepNext w:val="0"/>
              <w:keepLines w:val="0"/>
              <w:widowControl/>
              <w:suppressLineNumbers w:val="0"/>
              <w:spacing w:before="0" w:beforeAutospacing="0" w:after="0" w:afterAutospacing="0"/>
              <w:ind w:left="0" w:right="0"/>
              <w:jc w:val="left"/>
              <w:rPr>
                <w:rFonts w:hint="default"/>
                <w:color w:val="auto"/>
                <w:highlight w:val="none"/>
              </w:rPr>
            </w:pPr>
            <w:r>
              <w:rPr>
                <w:rFonts w:hint="default" w:ascii="仿宋_GB2312" w:eastAsia="仿宋_GB2312" w:cs="仿宋_GB2312"/>
                <w:color w:val="auto"/>
                <w:kern w:val="0"/>
                <w:sz w:val="24"/>
                <w:highlight w:val="none"/>
              </w:rPr>
              <w:t> </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25CD8AD7">
            <w:pPr>
              <w:keepNext w:val="0"/>
              <w:keepLines w:val="0"/>
              <w:widowControl/>
              <w:suppressLineNumbers w:val="0"/>
              <w:spacing w:before="0" w:beforeAutospacing="0" w:after="0" w:afterAutospacing="0"/>
              <w:ind w:left="0" w:right="0"/>
              <w:rPr>
                <w:rFonts w:hint="default"/>
                <w:color w:val="auto"/>
                <w:highlight w:val="none"/>
              </w:rPr>
            </w:pPr>
            <w:r>
              <w:rPr>
                <w:rFonts w:hint="default" w:ascii="仿宋_GB2312" w:eastAsia="仿宋_GB2312" w:cs="仿宋_GB2312"/>
                <w:color w:val="auto"/>
                <w:kern w:val="0"/>
                <w:sz w:val="24"/>
                <w:highlight w:val="none"/>
              </w:rPr>
              <w:t> </w:t>
            </w:r>
          </w:p>
        </w:tc>
      </w:tr>
      <w:tr w14:paraId="1B6E8B0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4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9974BA1">
            <w:pPr>
              <w:keepNext w:val="0"/>
              <w:keepLines w:val="0"/>
              <w:suppressLineNumbers w:val="0"/>
              <w:spacing w:before="0" w:beforeAutospacing="0" w:after="0" w:afterAutospacing="0"/>
              <w:ind w:left="0" w:right="0"/>
              <w:rPr>
                <w:rFonts w:hint="default" w:ascii="宋体"/>
                <w:color w:val="auto"/>
                <w:sz w:val="24"/>
                <w:highlight w:val="none"/>
              </w:rPr>
            </w:pPr>
          </w:p>
        </w:tc>
        <w:tc>
          <w:tcPr>
            <w:tcW w:w="206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14:paraId="2256B18F">
            <w:pPr>
              <w:keepNext w:val="0"/>
              <w:keepLines w:val="0"/>
              <w:suppressLineNumbers w:val="0"/>
              <w:spacing w:before="0" w:beforeAutospacing="0" w:after="0" w:afterAutospacing="0"/>
              <w:ind w:left="0" w:right="0"/>
              <w:rPr>
                <w:rFonts w:hint="default" w:ascii="宋体"/>
                <w:color w:val="auto"/>
                <w:sz w:val="24"/>
                <w:highlight w:val="none"/>
              </w:rPr>
            </w:pPr>
          </w:p>
        </w:tc>
        <w:tc>
          <w:tcPr>
            <w:tcW w:w="3639" w:type="dxa"/>
            <w:tcBorders>
              <w:top w:val="nil"/>
              <w:left w:val="nil"/>
              <w:bottom w:val="single" w:color="auto" w:sz="8" w:space="0"/>
              <w:right w:val="single" w:color="auto" w:sz="8" w:space="0"/>
            </w:tcBorders>
            <w:shd w:val="clear" w:color="auto" w:fill="auto"/>
            <w:tcMar>
              <w:left w:w="108" w:type="dxa"/>
              <w:right w:w="108" w:type="dxa"/>
            </w:tcMar>
          </w:tcPr>
          <w:p w14:paraId="26F19F6F">
            <w:pPr>
              <w:keepNext w:val="0"/>
              <w:keepLines w:val="0"/>
              <w:widowControl/>
              <w:suppressLineNumbers w:val="0"/>
              <w:spacing w:before="0" w:beforeAutospacing="0" w:after="0" w:afterAutospacing="0"/>
              <w:ind w:left="0" w:right="0"/>
              <w:jc w:val="left"/>
              <w:rPr>
                <w:rFonts w:hint="default"/>
                <w:color w:val="auto"/>
                <w:highlight w:val="none"/>
              </w:rPr>
            </w:pPr>
            <w:r>
              <w:rPr>
                <w:rFonts w:hint="eastAsia" w:ascii="仿宋" w:hAnsi="仿宋" w:eastAsia="仿宋" w:cs="仿宋"/>
                <w:color w:val="auto"/>
                <w:kern w:val="0"/>
                <w:sz w:val="24"/>
                <w:highlight w:val="none"/>
              </w:rPr>
              <w:t>检测单位应以月报形式定期报告月度检测内容及下一步工作计划。满分10分，每未报一次扣5分</w:t>
            </w:r>
            <w:r>
              <w:rPr>
                <w:rFonts w:hint="default" w:ascii="仿宋_GB2312" w:eastAsia="仿宋_GB2312" w:cs="仿宋_GB2312"/>
                <w:color w:val="auto"/>
                <w:kern w:val="0"/>
                <w:sz w:val="24"/>
                <w:highlight w:val="none"/>
              </w:rPr>
              <w:t>，扣完为止</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03E5ADE7">
            <w:pPr>
              <w:keepNext w:val="0"/>
              <w:keepLines w:val="0"/>
              <w:widowControl/>
              <w:suppressLineNumbers w:val="0"/>
              <w:spacing w:before="0" w:beforeAutospacing="0" w:after="0" w:afterAutospacing="0"/>
              <w:ind w:left="0" w:right="0"/>
              <w:jc w:val="center"/>
              <w:rPr>
                <w:rFonts w:hint="default"/>
                <w:color w:val="auto"/>
                <w:highlight w:val="none"/>
              </w:rPr>
            </w:pPr>
            <w:r>
              <w:rPr>
                <w:rFonts w:hint="default" w:ascii="仿宋_GB2312" w:eastAsia="仿宋_GB2312" w:cs="仿宋_GB2312"/>
                <w:color w:val="auto"/>
                <w:kern w:val="0"/>
                <w:sz w:val="24"/>
                <w:highlight w:val="none"/>
              </w:rPr>
              <w:t>10</w:t>
            </w:r>
          </w:p>
        </w:tc>
        <w:tc>
          <w:tcPr>
            <w:tcW w:w="992" w:type="dxa"/>
            <w:tcBorders>
              <w:top w:val="nil"/>
              <w:left w:val="nil"/>
              <w:bottom w:val="single" w:color="auto" w:sz="8" w:space="0"/>
              <w:right w:val="single" w:color="auto" w:sz="8" w:space="0"/>
            </w:tcBorders>
            <w:shd w:val="clear" w:color="auto" w:fill="auto"/>
            <w:tcMar>
              <w:left w:w="108" w:type="dxa"/>
              <w:right w:w="108" w:type="dxa"/>
            </w:tcMar>
          </w:tcPr>
          <w:p w14:paraId="3C193411">
            <w:pPr>
              <w:keepNext w:val="0"/>
              <w:keepLines w:val="0"/>
              <w:widowControl/>
              <w:suppressLineNumbers w:val="0"/>
              <w:spacing w:before="0" w:beforeAutospacing="0" w:after="0" w:afterAutospacing="0"/>
              <w:ind w:left="0" w:right="0"/>
              <w:jc w:val="left"/>
              <w:rPr>
                <w:rFonts w:hint="default"/>
                <w:color w:val="auto"/>
                <w:highlight w:val="none"/>
              </w:rPr>
            </w:pPr>
            <w:r>
              <w:rPr>
                <w:rFonts w:hint="default" w:ascii="仿宋_GB2312" w:eastAsia="仿宋_GB2312" w:cs="仿宋_GB2312"/>
                <w:color w:val="auto"/>
                <w:kern w:val="0"/>
                <w:sz w:val="24"/>
                <w:highlight w:val="none"/>
              </w:rPr>
              <w:t> </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695D1ABF">
            <w:pPr>
              <w:keepNext w:val="0"/>
              <w:keepLines w:val="0"/>
              <w:widowControl/>
              <w:suppressLineNumbers w:val="0"/>
              <w:spacing w:before="0" w:beforeAutospacing="0" w:after="0" w:afterAutospacing="0"/>
              <w:ind w:left="0" w:right="0"/>
              <w:rPr>
                <w:rFonts w:hint="default"/>
                <w:color w:val="auto"/>
                <w:highlight w:val="none"/>
              </w:rPr>
            </w:pPr>
            <w:r>
              <w:rPr>
                <w:rFonts w:hint="default" w:ascii="仿宋_GB2312" w:eastAsia="仿宋_GB2312" w:cs="仿宋_GB2312"/>
                <w:color w:val="auto"/>
                <w:kern w:val="0"/>
                <w:sz w:val="24"/>
                <w:highlight w:val="none"/>
              </w:rPr>
              <w:t> </w:t>
            </w:r>
          </w:p>
        </w:tc>
      </w:tr>
      <w:tr w14:paraId="2343FBD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4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A0E0909">
            <w:pPr>
              <w:keepNext w:val="0"/>
              <w:keepLines w:val="0"/>
              <w:widowControl/>
              <w:suppressLineNumbers w:val="0"/>
              <w:spacing w:before="0" w:beforeAutospacing="0" w:after="0" w:afterAutospacing="0"/>
              <w:ind w:left="0" w:right="0"/>
              <w:jc w:val="center"/>
              <w:rPr>
                <w:rFonts w:hint="default"/>
                <w:color w:val="auto"/>
                <w:highlight w:val="none"/>
              </w:rPr>
            </w:pPr>
            <w:r>
              <w:rPr>
                <w:rFonts w:hint="default" w:ascii="仿宋_GB2312" w:eastAsia="仿宋_GB2312" w:cs="仿宋_GB2312"/>
                <w:color w:val="auto"/>
                <w:kern w:val="0"/>
                <w:sz w:val="24"/>
                <w:highlight w:val="none"/>
              </w:rPr>
              <w:t>3</w:t>
            </w:r>
          </w:p>
        </w:tc>
        <w:tc>
          <w:tcPr>
            <w:tcW w:w="2060" w:type="dxa"/>
            <w:tcBorders>
              <w:top w:val="nil"/>
              <w:left w:val="nil"/>
              <w:bottom w:val="single" w:color="auto" w:sz="8" w:space="0"/>
              <w:right w:val="single" w:color="auto" w:sz="8" w:space="0"/>
            </w:tcBorders>
            <w:shd w:val="clear" w:color="auto" w:fill="auto"/>
            <w:tcMar>
              <w:left w:w="108" w:type="dxa"/>
              <w:right w:w="108" w:type="dxa"/>
            </w:tcMar>
            <w:vAlign w:val="center"/>
          </w:tcPr>
          <w:p w14:paraId="1D30EFF8">
            <w:pPr>
              <w:keepNext w:val="0"/>
              <w:keepLines w:val="0"/>
              <w:widowControl/>
              <w:suppressLineNumbers w:val="0"/>
              <w:spacing w:before="0" w:beforeAutospacing="0" w:after="0" w:afterAutospacing="0"/>
              <w:ind w:left="0" w:right="0"/>
              <w:rPr>
                <w:rFonts w:hint="default"/>
                <w:color w:val="auto"/>
                <w:highlight w:val="none"/>
              </w:rPr>
            </w:pPr>
            <w:r>
              <w:rPr>
                <w:rFonts w:hint="default" w:ascii="仿宋_GB2312" w:eastAsia="仿宋_GB2312" w:cs="仿宋_GB2312"/>
                <w:color w:val="auto"/>
                <w:kern w:val="0"/>
                <w:sz w:val="24"/>
                <w:highlight w:val="none"/>
              </w:rPr>
              <w:t>内业资料</w:t>
            </w:r>
          </w:p>
        </w:tc>
        <w:tc>
          <w:tcPr>
            <w:tcW w:w="3639" w:type="dxa"/>
            <w:tcBorders>
              <w:top w:val="nil"/>
              <w:left w:val="nil"/>
              <w:bottom w:val="single" w:color="auto" w:sz="8" w:space="0"/>
              <w:right w:val="single" w:color="auto" w:sz="8" w:space="0"/>
            </w:tcBorders>
            <w:shd w:val="clear" w:color="auto" w:fill="auto"/>
            <w:tcMar>
              <w:left w:w="108" w:type="dxa"/>
              <w:right w:w="108" w:type="dxa"/>
            </w:tcMar>
          </w:tcPr>
          <w:p w14:paraId="2A8E7F49">
            <w:pPr>
              <w:keepNext w:val="0"/>
              <w:keepLines w:val="0"/>
              <w:widowControl/>
              <w:suppressLineNumbers w:val="0"/>
              <w:spacing w:before="0" w:beforeAutospacing="0" w:after="0" w:afterAutospacing="0"/>
              <w:ind w:left="0" w:right="0"/>
              <w:jc w:val="left"/>
              <w:rPr>
                <w:rFonts w:hint="default"/>
                <w:color w:val="auto"/>
                <w:highlight w:val="none"/>
              </w:rPr>
            </w:pPr>
            <w:r>
              <w:rPr>
                <w:rFonts w:hint="eastAsia" w:ascii="仿宋" w:hAnsi="仿宋" w:eastAsia="仿宋" w:cs="仿宋"/>
                <w:color w:val="auto"/>
                <w:kern w:val="0"/>
                <w:sz w:val="24"/>
                <w:highlight w:val="none"/>
              </w:rPr>
              <w:t>检测单位日常巡查、检测工作日志及质量预警，并审核整改情况，及时上传至项目管理系统，建设单位定期通报。满分30分。每通报一次，扣5分</w:t>
            </w:r>
            <w:r>
              <w:rPr>
                <w:rFonts w:hint="default" w:ascii="仿宋_GB2312" w:eastAsia="仿宋_GB2312" w:cs="仿宋_GB2312"/>
                <w:color w:val="auto"/>
                <w:kern w:val="0"/>
                <w:sz w:val="24"/>
                <w:highlight w:val="none"/>
              </w:rPr>
              <w:t>，扣完为止</w:t>
            </w:r>
            <w:r>
              <w:rPr>
                <w:rFonts w:hint="eastAsia" w:ascii="仿宋" w:hAnsi="仿宋" w:eastAsia="仿宋" w:cs="仿宋"/>
                <w:color w:val="auto"/>
                <w:kern w:val="0"/>
                <w:sz w:val="24"/>
                <w:highlight w:val="none"/>
              </w:rPr>
              <w:t>。</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354AFCDE">
            <w:pPr>
              <w:keepNext w:val="0"/>
              <w:keepLines w:val="0"/>
              <w:widowControl/>
              <w:suppressLineNumbers w:val="0"/>
              <w:spacing w:before="0" w:beforeAutospacing="0" w:after="0" w:afterAutospacing="0"/>
              <w:ind w:left="0" w:right="0"/>
              <w:jc w:val="center"/>
              <w:rPr>
                <w:rFonts w:hint="default"/>
                <w:color w:val="auto"/>
                <w:highlight w:val="none"/>
              </w:rPr>
            </w:pPr>
            <w:r>
              <w:rPr>
                <w:rFonts w:hint="default" w:ascii="仿宋_GB2312" w:eastAsia="仿宋_GB2312" w:cs="仿宋_GB2312"/>
                <w:color w:val="auto"/>
                <w:kern w:val="0"/>
                <w:sz w:val="24"/>
                <w:highlight w:val="none"/>
              </w:rPr>
              <w:t>30</w:t>
            </w:r>
          </w:p>
        </w:tc>
        <w:tc>
          <w:tcPr>
            <w:tcW w:w="992" w:type="dxa"/>
            <w:tcBorders>
              <w:top w:val="nil"/>
              <w:left w:val="nil"/>
              <w:bottom w:val="single" w:color="auto" w:sz="8" w:space="0"/>
              <w:right w:val="single" w:color="auto" w:sz="8" w:space="0"/>
            </w:tcBorders>
            <w:shd w:val="clear" w:color="auto" w:fill="auto"/>
            <w:tcMar>
              <w:left w:w="108" w:type="dxa"/>
              <w:right w:w="108" w:type="dxa"/>
            </w:tcMar>
          </w:tcPr>
          <w:p w14:paraId="0F97B7B1">
            <w:pPr>
              <w:keepNext w:val="0"/>
              <w:keepLines w:val="0"/>
              <w:widowControl/>
              <w:suppressLineNumbers w:val="0"/>
              <w:spacing w:before="0" w:beforeAutospacing="0" w:after="0" w:afterAutospacing="0"/>
              <w:ind w:left="0" w:right="0"/>
              <w:jc w:val="left"/>
              <w:rPr>
                <w:rFonts w:hint="default"/>
                <w:color w:val="auto"/>
                <w:highlight w:val="none"/>
              </w:rPr>
            </w:pPr>
            <w:r>
              <w:rPr>
                <w:rFonts w:hint="default" w:ascii="仿宋_GB2312" w:eastAsia="仿宋_GB2312" w:cs="仿宋_GB2312"/>
                <w:color w:val="auto"/>
                <w:kern w:val="0"/>
                <w:sz w:val="24"/>
                <w:highlight w:val="none"/>
              </w:rPr>
              <w:t> </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0B495C58">
            <w:pPr>
              <w:keepNext w:val="0"/>
              <w:keepLines w:val="0"/>
              <w:widowControl/>
              <w:suppressLineNumbers w:val="0"/>
              <w:spacing w:before="0" w:beforeAutospacing="0" w:after="0" w:afterAutospacing="0"/>
              <w:ind w:left="0" w:right="0"/>
              <w:rPr>
                <w:rFonts w:hint="default"/>
                <w:color w:val="auto"/>
                <w:highlight w:val="none"/>
              </w:rPr>
            </w:pPr>
            <w:r>
              <w:rPr>
                <w:rFonts w:hint="default" w:ascii="仿宋_GB2312" w:eastAsia="仿宋_GB2312" w:cs="仿宋_GB2312"/>
                <w:color w:val="auto"/>
                <w:kern w:val="0"/>
                <w:sz w:val="24"/>
                <w:highlight w:val="none"/>
              </w:rPr>
              <w:t> </w:t>
            </w:r>
          </w:p>
        </w:tc>
      </w:tr>
      <w:tr w14:paraId="611F1F8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c>
          <w:tcPr>
            <w:tcW w:w="64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A4873A4">
            <w:pPr>
              <w:keepNext w:val="0"/>
              <w:keepLines w:val="0"/>
              <w:widowControl/>
              <w:suppressLineNumbers w:val="0"/>
              <w:spacing w:before="0" w:beforeAutospacing="0" w:after="0" w:afterAutospacing="0"/>
              <w:ind w:left="0" w:right="0"/>
              <w:jc w:val="center"/>
              <w:rPr>
                <w:rFonts w:hint="default"/>
                <w:color w:val="auto"/>
                <w:highlight w:val="none"/>
              </w:rPr>
            </w:pPr>
            <w:r>
              <w:rPr>
                <w:rFonts w:hint="default" w:ascii="仿宋_GB2312" w:eastAsia="仿宋_GB2312" w:cs="仿宋_GB2312"/>
                <w:color w:val="auto"/>
                <w:kern w:val="0"/>
                <w:sz w:val="24"/>
                <w:highlight w:val="none"/>
              </w:rPr>
              <w:t>4</w:t>
            </w:r>
          </w:p>
        </w:tc>
        <w:tc>
          <w:tcPr>
            <w:tcW w:w="2060" w:type="dxa"/>
            <w:tcBorders>
              <w:top w:val="nil"/>
              <w:left w:val="nil"/>
              <w:bottom w:val="single" w:color="auto" w:sz="8" w:space="0"/>
              <w:right w:val="single" w:color="auto" w:sz="8" w:space="0"/>
            </w:tcBorders>
            <w:shd w:val="clear" w:color="auto" w:fill="auto"/>
            <w:tcMar>
              <w:left w:w="108" w:type="dxa"/>
              <w:right w:w="108" w:type="dxa"/>
            </w:tcMar>
            <w:vAlign w:val="center"/>
          </w:tcPr>
          <w:p w14:paraId="445A137D">
            <w:pPr>
              <w:keepNext w:val="0"/>
              <w:keepLines w:val="0"/>
              <w:widowControl/>
              <w:suppressLineNumbers w:val="0"/>
              <w:spacing w:before="0" w:beforeAutospacing="0" w:after="0" w:afterAutospacing="0"/>
              <w:ind w:left="0" w:right="0"/>
              <w:rPr>
                <w:rFonts w:hint="default"/>
                <w:color w:val="auto"/>
                <w:highlight w:val="none"/>
              </w:rPr>
            </w:pPr>
            <w:r>
              <w:rPr>
                <w:rFonts w:hint="default" w:ascii="仿宋_GB2312" w:eastAsia="仿宋_GB2312" w:cs="仿宋_GB2312"/>
                <w:color w:val="auto"/>
                <w:kern w:val="0"/>
                <w:sz w:val="24"/>
                <w:highlight w:val="none"/>
              </w:rPr>
              <w:t>加分项</w:t>
            </w:r>
          </w:p>
        </w:tc>
        <w:tc>
          <w:tcPr>
            <w:tcW w:w="3639" w:type="dxa"/>
            <w:tcBorders>
              <w:top w:val="nil"/>
              <w:left w:val="nil"/>
              <w:bottom w:val="single" w:color="auto" w:sz="8" w:space="0"/>
              <w:right w:val="single" w:color="auto" w:sz="8" w:space="0"/>
            </w:tcBorders>
            <w:shd w:val="clear" w:color="auto" w:fill="auto"/>
            <w:tcMar>
              <w:left w:w="108" w:type="dxa"/>
              <w:right w:w="108" w:type="dxa"/>
            </w:tcMar>
          </w:tcPr>
          <w:p w14:paraId="7DA763AE">
            <w:pPr>
              <w:keepNext w:val="0"/>
              <w:keepLines w:val="0"/>
              <w:widowControl/>
              <w:suppressLineNumbers w:val="0"/>
              <w:spacing w:before="0" w:beforeAutospacing="0" w:after="0" w:afterAutospacing="0"/>
              <w:ind w:left="0" w:right="0"/>
              <w:jc w:val="left"/>
              <w:rPr>
                <w:rFonts w:hint="default"/>
                <w:color w:val="auto"/>
                <w:highlight w:val="none"/>
              </w:rPr>
            </w:pPr>
            <w:r>
              <w:rPr>
                <w:rFonts w:hint="eastAsia" w:ascii="仿宋" w:hAnsi="仿宋" w:eastAsia="仿宋" w:cs="仿宋"/>
                <w:color w:val="auto"/>
                <w:kern w:val="0"/>
                <w:sz w:val="24"/>
                <w:highlight w:val="none"/>
              </w:rPr>
              <w:t>检测单位应加强日常巡查，发现主材质量及现场施工问题及时向建设单位和监理单位报告。每主动发现并报告一次，加2分，最多加10分。</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60FCC15C">
            <w:pPr>
              <w:keepNext w:val="0"/>
              <w:keepLines w:val="0"/>
              <w:widowControl/>
              <w:suppressLineNumbers w:val="0"/>
              <w:spacing w:before="0" w:beforeAutospacing="0" w:after="0" w:afterAutospacing="0"/>
              <w:ind w:left="0" w:right="0"/>
              <w:jc w:val="center"/>
              <w:rPr>
                <w:rFonts w:hint="default"/>
                <w:color w:val="auto"/>
                <w:highlight w:val="none"/>
              </w:rPr>
            </w:pPr>
            <w:r>
              <w:rPr>
                <w:rFonts w:hint="default" w:ascii="仿宋_GB2312" w:eastAsia="仿宋_GB2312" w:cs="仿宋_GB2312"/>
                <w:color w:val="auto"/>
                <w:kern w:val="0"/>
                <w:sz w:val="24"/>
                <w:highlight w:val="none"/>
              </w:rPr>
              <w:t> </w:t>
            </w:r>
          </w:p>
        </w:tc>
        <w:tc>
          <w:tcPr>
            <w:tcW w:w="992" w:type="dxa"/>
            <w:tcBorders>
              <w:top w:val="nil"/>
              <w:left w:val="nil"/>
              <w:bottom w:val="single" w:color="auto" w:sz="8" w:space="0"/>
              <w:right w:val="single" w:color="auto" w:sz="8" w:space="0"/>
            </w:tcBorders>
            <w:shd w:val="clear" w:color="auto" w:fill="auto"/>
            <w:tcMar>
              <w:left w:w="108" w:type="dxa"/>
              <w:right w:w="108" w:type="dxa"/>
            </w:tcMar>
          </w:tcPr>
          <w:p w14:paraId="149D03F3">
            <w:pPr>
              <w:keepNext w:val="0"/>
              <w:keepLines w:val="0"/>
              <w:widowControl/>
              <w:suppressLineNumbers w:val="0"/>
              <w:spacing w:before="0" w:beforeAutospacing="0" w:after="0" w:afterAutospacing="0"/>
              <w:ind w:left="0" w:right="0"/>
              <w:jc w:val="left"/>
              <w:rPr>
                <w:rFonts w:hint="default"/>
                <w:color w:val="auto"/>
                <w:highlight w:val="none"/>
              </w:rPr>
            </w:pPr>
            <w:r>
              <w:rPr>
                <w:rFonts w:hint="default" w:ascii="仿宋_GB2312" w:eastAsia="仿宋_GB2312" w:cs="仿宋_GB2312"/>
                <w:color w:val="auto"/>
                <w:kern w:val="0"/>
                <w:sz w:val="24"/>
                <w:highlight w:val="none"/>
              </w:rPr>
              <w:t> </w:t>
            </w:r>
          </w:p>
        </w:tc>
        <w:tc>
          <w:tcPr>
            <w:tcW w:w="851" w:type="dxa"/>
            <w:tcBorders>
              <w:top w:val="nil"/>
              <w:left w:val="nil"/>
              <w:bottom w:val="single" w:color="auto" w:sz="8" w:space="0"/>
              <w:right w:val="single" w:color="auto" w:sz="8" w:space="0"/>
            </w:tcBorders>
            <w:shd w:val="clear" w:color="auto" w:fill="auto"/>
            <w:tcMar>
              <w:left w:w="108" w:type="dxa"/>
              <w:right w:w="108" w:type="dxa"/>
            </w:tcMar>
            <w:vAlign w:val="center"/>
          </w:tcPr>
          <w:p w14:paraId="15AFFA4B">
            <w:pPr>
              <w:keepNext w:val="0"/>
              <w:keepLines w:val="0"/>
              <w:widowControl/>
              <w:suppressLineNumbers w:val="0"/>
              <w:spacing w:before="0" w:beforeAutospacing="0" w:after="0" w:afterAutospacing="0"/>
              <w:ind w:left="0" w:right="0"/>
              <w:rPr>
                <w:rFonts w:hint="default"/>
                <w:color w:val="auto"/>
                <w:highlight w:val="none"/>
              </w:rPr>
            </w:pPr>
            <w:r>
              <w:rPr>
                <w:rFonts w:hint="default" w:ascii="仿宋_GB2312" w:eastAsia="仿宋_GB2312" w:cs="仿宋_GB2312"/>
                <w:color w:val="auto"/>
                <w:kern w:val="0"/>
                <w:sz w:val="24"/>
                <w:highlight w:val="none"/>
              </w:rPr>
              <w:t> </w:t>
            </w:r>
          </w:p>
        </w:tc>
      </w:tr>
    </w:tbl>
    <w:p w14:paraId="00B402A4">
      <w:pPr>
        <w:rPr>
          <w:color w:val="auto"/>
          <w:highlight w:val="none"/>
        </w:rPr>
      </w:pPr>
    </w:p>
    <w:p w14:paraId="69DBADE1">
      <w:pPr>
        <w:rPr>
          <w:color w:val="auto"/>
          <w:highlight w:val="none"/>
        </w:rPr>
      </w:pPr>
    </w:p>
    <w:p w14:paraId="0609F656">
      <w:pPr>
        <w:rPr>
          <w:color w:val="auto"/>
          <w:highlight w:val="none"/>
        </w:rPr>
      </w:pPr>
    </w:p>
    <w:p w14:paraId="0CE4AA4D">
      <w:pPr>
        <w:rPr>
          <w:color w:val="auto"/>
          <w:highlight w:val="none"/>
        </w:rPr>
      </w:pPr>
    </w:p>
    <w:p w14:paraId="3430DD52">
      <w:pPr>
        <w:rPr>
          <w:color w:val="auto"/>
          <w:highlight w:val="none"/>
        </w:rPr>
      </w:pPr>
    </w:p>
    <w:p w14:paraId="7E1820A3">
      <w:pPr>
        <w:rPr>
          <w:color w:val="auto"/>
          <w:highlight w:val="none"/>
        </w:rPr>
      </w:pPr>
    </w:p>
    <w:p w14:paraId="12DC3C5C">
      <w:pPr>
        <w:rPr>
          <w:color w:val="auto"/>
          <w:highlight w:val="none"/>
        </w:rPr>
      </w:pPr>
    </w:p>
    <w:p w14:paraId="18C234D9">
      <w:pPr>
        <w:rPr>
          <w:color w:val="auto"/>
          <w:highlight w:val="none"/>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4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汉仪书宋二KW">
    <w:altName w:val="宋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683120"/>
    <w:multiLevelType w:val="singleLevel"/>
    <w:tmpl w:val="0968312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7B1294"/>
    <w:rsid w:val="00356B9E"/>
    <w:rsid w:val="008601E6"/>
    <w:rsid w:val="009A7856"/>
    <w:rsid w:val="00A516E0"/>
    <w:rsid w:val="00AB4C9A"/>
    <w:rsid w:val="00F97713"/>
    <w:rsid w:val="02B475FB"/>
    <w:rsid w:val="051C6AF1"/>
    <w:rsid w:val="06405268"/>
    <w:rsid w:val="0DE14811"/>
    <w:rsid w:val="118D0A92"/>
    <w:rsid w:val="127A7296"/>
    <w:rsid w:val="16B34B25"/>
    <w:rsid w:val="1C7B27E7"/>
    <w:rsid w:val="229F5AFF"/>
    <w:rsid w:val="24E9133F"/>
    <w:rsid w:val="251A0B90"/>
    <w:rsid w:val="2B396608"/>
    <w:rsid w:val="2B525283"/>
    <w:rsid w:val="2BE93082"/>
    <w:rsid w:val="2EDE0530"/>
    <w:rsid w:val="34943D90"/>
    <w:rsid w:val="34B00BC9"/>
    <w:rsid w:val="35476F21"/>
    <w:rsid w:val="39B61BCC"/>
    <w:rsid w:val="3B7B1294"/>
    <w:rsid w:val="3CF7410D"/>
    <w:rsid w:val="3D086E24"/>
    <w:rsid w:val="40532D51"/>
    <w:rsid w:val="44F87A23"/>
    <w:rsid w:val="45813206"/>
    <w:rsid w:val="48D13060"/>
    <w:rsid w:val="49557B3A"/>
    <w:rsid w:val="49804BB7"/>
    <w:rsid w:val="525C100F"/>
    <w:rsid w:val="534232C3"/>
    <w:rsid w:val="58EC1B0F"/>
    <w:rsid w:val="5AD75EB5"/>
    <w:rsid w:val="5BA207D9"/>
    <w:rsid w:val="5BE60713"/>
    <w:rsid w:val="5C441A74"/>
    <w:rsid w:val="5F375E1E"/>
    <w:rsid w:val="5FEC2A11"/>
    <w:rsid w:val="63181564"/>
    <w:rsid w:val="64151F48"/>
    <w:rsid w:val="64A51C86"/>
    <w:rsid w:val="651C3E40"/>
    <w:rsid w:val="65A13A93"/>
    <w:rsid w:val="67A63946"/>
    <w:rsid w:val="6874446A"/>
    <w:rsid w:val="694C640B"/>
    <w:rsid w:val="6A790E3A"/>
    <w:rsid w:val="6A8C669E"/>
    <w:rsid w:val="6AE568EE"/>
    <w:rsid w:val="6BEC17E0"/>
    <w:rsid w:val="6BED5489"/>
    <w:rsid w:val="6DC11E18"/>
    <w:rsid w:val="6F5A2B7D"/>
    <w:rsid w:val="71D01A54"/>
    <w:rsid w:val="72F57F82"/>
    <w:rsid w:val="739C3D63"/>
    <w:rsid w:val="743F0C02"/>
    <w:rsid w:val="7AF661D7"/>
    <w:rsid w:val="7C6A03D6"/>
    <w:rsid w:val="7C913AB1"/>
    <w:rsid w:val="7E516D68"/>
    <w:rsid w:val="7FC32D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font21"/>
    <w:basedOn w:val="6"/>
    <w:qFormat/>
    <w:uiPriority w:val="0"/>
    <w:rPr>
      <w:rFonts w:hint="eastAsia" w:ascii="宋体" w:hAnsi="宋体" w:eastAsia="宋体" w:cs="宋体"/>
      <w:color w:val="000000"/>
      <w:sz w:val="22"/>
      <w:szCs w:val="22"/>
      <w:u w:val="none"/>
    </w:rPr>
  </w:style>
  <w:style w:type="character" w:customStyle="1" w:styleId="8">
    <w:name w:val="font13"/>
    <w:basedOn w:val="6"/>
    <w:qFormat/>
    <w:uiPriority w:val="0"/>
    <w:rPr>
      <w:rFonts w:hint="default" w:ascii="Times New Roman" w:hAnsi="Times New Roman" w:cs="Times New Roman"/>
      <w:color w:val="000000"/>
      <w:sz w:val="22"/>
      <w:szCs w:val="22"/>
      <w:u w:val="none"/>
    </w:rPr>
  </w:style>
  <w:style w:type="character" w:customStyle="1" w:styleId="9">
    <w:name w:val="font91"/>
    <w:basedOn w:val="6"/>
    <w:qFormat/>
    <w:uiPriority w:val="0"/>
    <w:rPr>
      <w:rFonts w:hint="default" w:ascii="Times New Roman" w:hAnsi="Times New Roman" w:cs="Times New Roman"/>
      <w:color w:val="000000"/>
      <w:sz w:val="22"/>
      <w:szCs w:val="22"/>
      <w:u w:val="none"/>
    </w:rPr>
  </w:style>
  <w:style w:type="character" w:customStyle="1" w:styleId="10">
    <w:name w:val="页眉 Char"/>
    <w:basedOn w:val="6"/>
    <w:link w:val="3"/>
    <w:qFormat/>
    <w:uiPriority w:val="0"/>
    <w:rPr>
      <w:rFonts w:asciiTheme="minorHAnsi" w:hAnsiTheme="minorHAnsi" w:eastAsiaTheme="minorEastAsia" w:cstheme="minorBidi"/>
      <w:kern w:val="2"/>
      <w:sz w:val="18"/>
      <w:szCs w:val="18"/>
    </w:rPr>
  </w:style>
  <w:style w:type="character" w:customStyle="1" w:styleId="11">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Windows 10</Company>
  <Pages>13</Pages>
  <Words>3159</Words>
  <Characters>3273</Characters>
  <Lines>160</Lines>
  <Paragraphs>45</Paragraphs>
  <TotalTime>1051</TotalTime>
  <ScaleCrop>false</ScaleCrop>
  <LinksUpToDate>false</LinksUpToDate>
  <CharactersWithSpaces>3445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2026-01-16T05:55:00Z</dcterms:created>
  <dc:creator>淘一刀</dc:creator>
  <cp:lastModifiedBy>淘一刀</cp:lastModifiedBy>
  <cp:lastPrinted>2026-01-16T05:46:00Z</cp:lastPrinted>
  <dcterms:modified xsi:type="dcterms:W3CDTF">2026-01-20T01:40:58Z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0CFB735763A84ADBA4DF26A387A88970_13</vt:lpwstr>
  </property>
  <property fmtid="{D5CDD505-2E9C-101B-9397-08002B2CF9AE}" pid="4" name="KSOTemplateDocerSaveRecord">
    <vt:lpwstr>eyJoZGlkIjoiZWM1MDAyNGViZTFjOGEzM2MyMGNiN2M1MDhhNzNiZDMiLCJ1c2VySWQiOiI3NTM3Njc2MzkifQ==</vt:lpwstr>
  </property>
</Properties>
</file>