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kern w:val="2"/>
          <w:sz w:val="30"/>
          <w:szCs w:val="30"/>
          <w:highlight w:val="none"/>
          <w:lang w:val="en-US" w:eastAsia="zh-CN" w:bidi="ar"/>
        </w:rPr>
        <w:t>项目编号：AHTJZB-2025017</w:t>
      </w:r>
    </w:p>
    <w:p w14:paraId="1B984898">
      <w:pPr>
        <w:pStyle w:val="5"/>
        <w:spacing w:line="360" w:lineRule="auto"/>
        <w:jc w:val="center"/>
        <w:rPr>
          <w:rFonts w:hint="eastAsia" w:ascii="仿宋" w:hAnsi="仿宋" w:eastAsia="仿宋"/>
          <w:b/>
          <w:color w:val="auto"/>
          <w:sz w:val="52"/>
          <w:szCs w:val="52"/>
          <w:highlight w:val="none"/>
          <w:lang w:eastAsia="zh-CN"/>
        </w:rPr>
      </w:pPr>
    </w:p>
    <w:p w14:paraId="61FC792F">
      <w:pPr>
        <w:pStyle w:val="5"/>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铜陵市郊区生活污水管网新建改造工程（一期）监理</w:t>
      </w:r>
    </w:p>
    <w:p w14:paraId="65A46FAE">
      <w:pPr>
        <w:pStyle w:val="54"/>
        <w:spacing w:line="360" w:lineRule="auto"/>
        <w:ind w:left="0" w:right="84"/>
        <w:jc w:val="center"/>
        <w:rPr>
          <w:rFonts w:ascii="仿宋" w:hAnsi="仿宋" w:eastAsia="仿宋"/>
          <w:color w:val="auto"/>
          <w:spacing w:val="-3"/>
          <w:sz w:val="72"/>
          <w:szCs w:val="72"/>
          <w:highlight w:val="none"/>
        </w:rPr>
      </w:pPr>
    </w:p>
    <w:p w14:paraId="747A4C1D">
      <w:pPr>
        <w:pStyle w:val="54"/>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5"/>
        <w:spacing w:line="360" w:lineRule="auto"/>
        <w:rPr>
          <w:rFonts w:hint="eastAsia" w:ascii="仿宋" w:hAnsi="仿宋" w:eastAsia="仿宋"/>
          <w:b/>
          <w:color w:val="auto"/>
          <w:sz w:val="21"/>
          <w:szCs w:val="28"/>
          <w:highlight w:val="none"/>
        </w:rPr>
      </w:pPr>
    </w:p>
    <w:p w14:paraId="4E6B4627">
      <w:pPr>
        <w:pStyle w:val="5"/>
        <w:spacing w:line="360" w:lineRule="auto"/>
        <w:rPr>
          <w:rFonts w:hint="eastAsia" w:ascii="仿宋" w:hAnsi="仿宋" w:eastAsia="仿宋"/>
          <w:b/>
          <w:color w:val="auto"/>
          <w:sz w:val="21"/>
          <w:szCs w:val="28"/>
          <w:highlight w:val="none"/>
        </w:rPr>
      </w:pPr>
    </w:p>
    <w:p w14:paraId="7E05D268">
      <w:pPr>
        <w:pStyle w:val="5"/>
        <w:spacing w:line="360" w:lineRule="auto"/>
        <w:rPr>
          <w:rFonts w:hint="eastAsia" w:ascii="仿宋" w:hAnsi="仿宋" w:eastAsia="仿宋"/>
          <w:b/>
          <w:color w:val="auto"/>
          <w:sz w:val="21"/>
          <w:szCs w:val="28"/>
          <w:highlight w:val="none"/>
        </w:rPr>
      </w:pPr>
    </w:p>
    <w:p w14:paraId="691C91E9">
      <w:pPr>
        <w:pStyle w:val="5"/>
        <w:spacing w:line="360" w:lineRule="auto"/>
        <w:rPr>
          <w:rFonts w:hint="eastAsia" w:ascii="仿宋" w:hAnsi="仿宋" w:eastAsia="仿宋"/>
          <w:b/>
          <w:color w:val="auto"/>
          <w:sz w:val="21"/>
          <w:szCs w:val="28"/>
          <w:highlight w:val="none"/>
        </w:rPr>
      </w:pPr>
    </w:p>
    <w:p w14:paraId="75CE9885">
      <w:pPr>
        <w:pStyle w:val="5"/>
        <w:spacing w:line="360" w:lineRule="auto"/>
        <w:rPr>
          <w:rFonts w:hint="eastAsia" w:ascii="仿宋" w:hAnsi="仿宋" w:eastAsia="仿宋"/>
          <w:b/>
          <w:color w:val="auto"/>
          <w:sz w:val="21"/>
          <w:szCs w:val="28"/>
          <w:highlight w:val="none"/>
        </w:rPr>
      </w:pPr>
    </w:p>
    <w:p w14:paraId="086F1DD6">
      <w:pPr>
        <w:pStyle w:val="5"/>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   标   人：铜陵金诚资产运营有限公司（盖章）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sz w:val="30"/>
          <w:szCs w:val="30"/>
          <w:highlight w:val="none"/>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招标代理机构：安徽天玑项目管理有限公司（盖章）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sz w:val="30"/>
          <w:szCs w:val="30"/>
          <w:highlight w:val="none"/>
          <w:lang w:val="en-US"/>
        </w:rPr>
      </w:pPr>
    </w:p>
    <w:p w14:paraId="5936BCC4">
      <w:pPr>
        <w:pStyle w:val="53"/>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kern w:val="2"/>
          <w:sz w:val="28"/>
          <w:szCs w:val="20"/>
          <w:highlight w:val="none"/>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kern w:val="2"/>
          <w:sz w:val="30"/>
          <w:szCs w:val="30"/>
          <w:highlight w:val="none"/>
          <w:lang w:val="en-US" w:eastAsia="zh-CN" w:bidi="ar"/>
        </w:rPr>
        <w:t>2025年5月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7"/>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29"/>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2"/>
        <w:spacing w:line="360" w:lineRule="auto"/>
        <w:rPr>
          <w:rFonts w:hint="eastAsia" w:ascii="仿宋" w:hAnsi="仿宋" w:eastAsia="仿宋"/>
          <w:color w:val="auto"/>
          <w:sz w:val="36"/>
          <w:szCs w:val="44"/>
          <w:highlight w:val="none"/>
        </w:rPr>
      </w:pPr>
      <w:bookmarkStart w:id="1" w:name="_Toc129765772"/>
      <w:bookmarkStart w:id="2" w:name="_Toc174523177"/>
      <w:bookmarkStart w:id="3" w:name="_Toc174523088"/>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5E5748F6">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铜陵市郊区生活污水管网新建改造工程（一期）监理</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铜陵市郊区生活污水管网新建改造工程（一期）监理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s="宋体"/>
          <w:color w:val="auto"/>
          <w:sz w:val="24"/>
          <w:szCs w:val="24"/>
          <w:highlight w:val="none"/>
          <w:u w:val="single"/>
          <w:lang w:eastAsia="zh-CN"/>
        </w:rPr>
        <w:t>郊区发展改革委项目备案表</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铜陵市郊区生活污水管网新建改造工程（一期）监理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 w:val="24"/>
          <w:szCs w:val="24"/>
          <w:highlight w:val="none"/>
          <w:lang w:eastAsia="zh-CN"/>
        </w:rPr>
        <w:t xml:space="preserve"> </w:t>
      </w:r>
      <w:r>
        <w:rPr>
          <w:rFonts w:hint="eastAsia" w:ascii="仿宋" w:hAnsi="仿宋" w:eastAsia="仿宋"/>
          <w:color w:val="auto"/>
          <w:sz w:val="24"/>
          <w:szCs w:val="24"/>
          <w:highlight w:val="none"/>
          <w:lang w:val="en-US" w:eastAsia="zh-CN"/>
        </w:rPr>
        <w:t xml:space="preserve">AHTJZB-2025017 </w:t>
      </w:r>
      <w:r>
        <w:rPr>
          <w:rFonts w:hint="eastAsia" w:ascii="仿宋" w:hAnsi="仿宋" w:eastAsia="仿宋"/>
          <w:color w:val="auto"/>
          <w:sz w:val="24"/>
          <w:szCs w:val="24"/>
          <w:highlight w:val="none"/>
          <w:lang w:eastAsia="zh-CN"/>
        </w:rPr>
        <w:t xml:space="preserve">  </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 w:val="24"/>
          <w:szCs w:val="24"/>
          <w:highlight w:val="none"/>
          <w:lang w:val="en-US" w:eastAsia="zh-CN"/>
        </w:rPr>
        <w:t>AHTJZB-2025017</w:t>
      </w:r>
      <w:r>
        <w:rPr>
          <w:rFonts w:hint="eastAsia" w:ascii="仿宋" w:hAnsi="仿宋" w:eastAsia="仿宋"/>
          <w:color w:val="auto"/>
          <w:sz w:val="24"/>
          <w:szCs w:val="24"/>
          <w:highlight w:val="none"/>
        </w:rPr>
        <w:t>001</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总投资约1600万元。监理服务费率最高投标限价为1%，即监理服务费最高投标限价16万元</w:t>
      </w:r>
      <w:r>
        <w:rPr>
          <w:rFonts w:hint="eastAsia" w:ascii="仿宋" w:hAnsi="仿宋" w:eastAsia="仿宋" w:cs="宋体"/>
          <w:color w:val="auto"/>
          <w:sz w:val="24"/>
          <w:szCs w:val="24"/>
          <w:highlight w:val="none"/>
          <w:lang w:eastAsia="zh-CN"/>
        </w:rPr>
        <w:t>；</w:t>
      </w:r>
    </w:p>
    <w:p w14:paraId="028C11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auto"/>
          <w:sz w:val="24"/>
          <w:szCs w:val="24"/>
          <w:highlight w:val="none"/>
          <w:u w:val="single"/>
          <w:lang w:val="en-US" w:eastAsia="zh-CN"/>
        </w:rPr>
        <w:t>16万元</w:t>
      </w:r>
      <w:r>
        <w:rPr>
          <w:rFonts w:hint="eastAsia" w:ascii="仿宋" w:hAnsi="仿宋" w:eastAsia="仿宋"/>
          <w:color w:val="auto"/>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rPr>
        <w:t>工程施工准备阶段至至缺陷责任期结束并交付之日止（设计及施工工期</w:t>
      </w:r>
      <w:r>
        <w:rPr>
          <w:rFonts w:hint="eastAsia" w:ascii="仿宋" w:hAnsi="仿宋" w:eastAsia="仿宋"/>
          <w:color w:val="auto"/>
          <w:sz w:val="24"/>
          <w:szCs w:val="24"/>
          <w:highlight w:val="none"/>
          <w:u w:val="single"/>
          <w:lang w:val="en-US" w:eastAsia="zh-CN"/>
        </w:rPr>
        <w:t>180</w:t>
      </w:r>
      <w:r>
        <w:rPr>
          <w:rFonts w:hint="eastAsia" w:ascii="仿宋" w:hAnsi="仿宋" w:eastAsia="仿宋"/>
          <w:color w:val="auto"/>
          <w:sz w:val="24"/>
          <w:szCs w:val="24"/>
          <w:highlight w:val="none"/>
          <w:u w:val="single"/>
        </w:rPr>
        <w:t>日历天，缺陷责任期24个月）</w:t>
      </w:r>
      <w:r>
        <w:rPr>
          <w:rFonts w:hint="eastAsia" w:ascii="仿宋" w:hAnsi="仿宋" w:eastAsia="仿宋"/>
          <w:color w:val="auto"/>
          <w:sz w:val="24"/>
          <w:szCs w:val="24"/>
          <w:highlight w:val="none"/>
          <w:u w:val="single"/>
          <w:lang w:eastAsia="zh-CN"/>
        </w:rPr>
        <w:t>。</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项目施工阶段全过程监理（即上述建设规模中所列全部工程内容的全过程监理）、缺陷期相关服务以及招标文件中所载明的内容及业主安排的其他事项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市政公用</w:t>
      </w:r>
      <w:r>
        <w:rPr>
          <w:rFonts w:hint="eastAsia" w:ascii="仿宋" w:hAnsi="仿宋" w:eastAsia="仿宋"/>
          <w:b/>
          <w:color w:val="auto"/>
          <w:sz w:val="24"/>
          <w:szCs w:val="24"/>
          <w:highlight w:val="none"/>
          <w:u w:val="single"/>
        </w:rPr>
        <w:t>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lang w:val="en-US" w:eastAsia="zh-CN"/>
        </w:rPr>
        <w:t>市政公用</w:t>
      </w:r>
      <w:r>
        <w:rPr>
          <w:rFonts w:hint="eastAsia" w:ascii="仿宋" w:hAnsi="仿宋" w:eastAsia="仿宋"/>
          <w:bCs/>
          <w:color w:val="auto"/>
          <w:sz w:val="24"/>
          <w:szCs w:val="24"/>
          <w:highlight w:val="none"/>
          <w:u w:val="none"/>
        </w:rPr>
        <w:t>工程</w:t>
      </w:r>
      <w:r>
        <w:rPr>
          <w:rFonts w:hint="eastAsia" w:ascii="仿宋" w:hAnsi="仿宋" w:eastAsia="仿宋"/>
          <w:color w:val="auto"/>
          <w:sz w:val="24"/>
          <w:szCs w:val="24"/>
          <w:highlight w:val="none"/>
          <w:u w:val="none"/>
        </w:rPr>
        <w:t>专业监理</w:t>
      </w:r>
      <w:r>
        <w:rPr>
          <w:rFonts w:hint="eastAsia" w:ascii="仿宋" w:hAnsi="仿宋" w:eastAsia="仿宋" w:cs="宋体"/>
          <w:color w:val="auto"/>
          <w:sz w:val="24"/>
          <w:szCs w:val="24"/>
          <w:highlight w:val="none"/>
          <w:u w:val="none"/>
          <w:lang w:val="en-US" w:eastAsia="zh-CN"/>
        </w:rPr>
        <w:t>乙级及以上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有效的市政公用工程专业国家注册监理工程师资格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5.1递交投标文件截止（开标）时间为：2025年6月18日9时3</w:t>
      </w:r>
      <w:bookmarkStart w:id="146" w:name="_GoBack"/>
      <w:bookmarkEnd w:id="146"/>
      <w:r>
        <w:rPr>
          <w:rFonts w:hint="eastAsia" w:ascii="仿宋" w:hAnsi="仿宋" w:eastAsia="仿宋"/>
          <w:color w:val="auto"/>
          <w:sz w:val="24"/>
          <w:szCs w:val="24"/>
          <w:highlight w:val="none"/>
          <w:lang w:val="en-US" w:eastAsia="zh-CN"/>
        </w:rPr>
        <w:t>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铜陵金诚资产运营有限公司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铜陵市郊区大通美食广场2号网点4楼</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2ECF21F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联系人：陶先生</w:t>
      </w:r>
    </w:p>
    <w:p w14:paraId="3D9F59E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电话：18756251861</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安徽天玑项目管理有限公司</w:t>
      </w:r>
    </w:p>
    <w:p w14:paraId="38BE2D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 xml:space="preserve">铜陵市北斗星城B7号楼1802 </w:t>
      </w:r>
    </w:p>
    <w:p w14:paraId="7A8444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645BBACC">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李工</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17705624113</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p>
    <w:bookmarkEnd w:id="5"/>
    <w:p w14:paraId="769914DF">
      <w:pPr>
        <w:pStyle w:val="2"/>
        <w:spacing w:line="360" w:lineRule="auto"/>
        <w:rPr>
          <w:rFonts w:hint="eastAsia" w:ascii="仿宋" w:hAnsi="仿宋" w:eastAsia="仿宋"/>
          <w:color w:val="auto"/>
          <w:sz w:val="36"/>
          <w:szCs w:val="44"/>
          <w:highlight w:val="none"/>
        </w:rPr>
      </w:pPr>
      <w:bookmarkStart w:id="6" w:name="_Toc129765773"/>
      <w:bookmarkStart w:id="7" w:name="_Toc174523178"/>
      <w:bookmarkStart w:id="8" w:name="_Toc174523089"/>
    </w:p>
    <w:p w14:paraId="4396878F">
      <w:pPr>
        <w:pStyle w:val="2"/>
        <w:spacing w:line="360" w:lineRule="auto"/>
        <w:rPr>
          <w:rFonts w:hint="eastAsia" w:ascii="仿宋" w:hAnsi="仿宋" w:eastAsia="仿宋"/>
          <w:color w:val="auto"/>
          <w:sz w:val="36"/>
          <w:szCs w:val="44"/>
          <w:highlight w:val="none"/>
        </w:rPr>
      </w:pPr>
    </w:p>
    <w:p w14:paraId="55816013">
      <w:pPr>
        <w:pStyle w:val="2"/>
        <w:spacing w:line="360" w:lineRule="auto"/>
        <w:rPr>
          <w:rFonts w:hint="eastAsia" w:ascii="仿宋" w:hAnsi="仿宋" w:eastAsia="仿宋"/>
          <w:color w:val="auto"/>
          <w:sz w:val="36"/>
          <w:szCs w:val="44"/>
          <w:highlight w:val="none"/>
        </w:rPr>
      </w:pPr>
    </w:p>
    <w:p w14:paraId="0477687A">
      <w:pPr>
        <w:pStyle w:val="2"/>
        <w:spacing w:line="360" w:lineRule="auto"/>
        <w:rPr>
          <w:rFonts w:hint="eastAsia" w:ascii="仿宋" w:hAnsi="仿宋" w:eastAsia="仿宋"/>
          <w:color w:val="auto"/>
          <w:sz w:val="36"/>
          <w:szCs w:val="44"/>
          <w:highlight w:val="none"/>
        </w:rPr>
      </w:pPr>
    </w:p>
    <w:p w14:paraId="3AADCF7F">
      <w:pPr>
        <w:pStyle w:val="2"/>
        <w:spacing w:line="360" w:lineRule="auto"/>
        <w:rPr>
          <w:rFonts w:hint="eastAsia" w:ascii="仿宋" w:hAnsi="仿宋" w:eastAsia="仿宋"/>
          <w:color w:val="auto"/>
          <w:sz w:val="36"/>
          <w:szCs w:val="44"/>
          <w:highlight w:val="none"/>
        </w:rPr>
      </w:pPr>
    </w:p>
    <w:p w14:paraId="0F909096">
      <w:pPr>
        <w:pStyle w:val="2"/>
        <w:spacing w:line="360" w:lineRule="auto"/>
        <w:rPr>
          <w:rFonts w:hint="eastAsia" w:ascii="仿宋" w:hAnsi="仿宋" w:eastAsia="仿宋"/>
          <w:color w:val="auto"/>
          <w:sz w:val="36"/>
          <w:szCs w:val="44"/>
          <w:highlight w:val="none"/>
        </w:rPr>
      </w:pPr>
    </w:p>
    <w:p w14:paraId="7CEAAFD2">
      <w:pPr>
        <w:pStyle w:val="2"/>
        <w:spacing w:line="360" w:lineRule="auto"/>
        <w:rPr>
          <w:rFonts w:hint="eastAsia" w:ascii="仿宋" w:hAnsi="仿宋" w:eastAsia="仿宋"/>
          <w:color w:val="auto"/>
          <w:sz w:val="36"/>
          <w:szCs w:val="44"/>
          <w:highlight w:val="none"/>
        </w:rPr>
      </w:pPr>
    </w:p>
    <w:p w14:paraId="34C9B195">
      <w:pPr>
        <w:pStyle w:val="2"/>
        <w:spacing w:line="360" w:lineRule="auto"/>
        <w:rPr>
          <w:rFonts w:hint="eastAsia" w:ascii="仿宋" w:hAnsi="仿宋" w:eastAsia="仿宋"/>
          <w:color w:val="auto"/>
          <w:sz w:val="36"/>
          <w:szCs w:val="44"/>
          <w:highlight w:val="none"/>
        </w:rPr>
      </w:pPr>
    </w:p>
    <w:p w14:paraId="035E3116">
      <w:pP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203CC979">
      <w:pPr>
        <w:pStyle w:val="2"/>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57C09495">
            <w:pPr>
              <w:pStyle w:val="91"/>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4CE13F35">
            <w:pPr>
              <w:pStyle w:val="91"/>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38402893">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3"/>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2E3E1497">
            <w:pPr>
              <w:keepNext w:val="0"/>
              <w:keepLines w:val="0"/>
              <w:suppressLineNumbers w:val="0"/>
              <w:spacing w:before="0" w:beforeAutospacing="0" w:after="0" w:afterAutospacing="0" w:line="360" w:lineRule="auto"/>
              <w:ind w:left="0" w:right="0" w:firstLine="240" w:firstLineChars="100"/>
              <w:jc w:val="both"/>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最高投标限价：</w:t>
            </w:r>
            <w:r>
              <w:rPr>
                <w:rFonts w:hint="eastAsia" w:ascii="仿宋" w:hAnsi="仿宋" w:eastAsia="仿宋"/>
                <w:b/>
                <w:color w:val="auto"/>
                <w:sz w:val="24"/>
                <w:szCs w:val="24"/>
                <w:highlight w:val="none"/>
                <w:u w:val="single"/>
                <w:lang w:val="en-US" w:eastAsia="zh-CN"/>
              </w:rPr>
              <w:t>见招标公告</w:t>
            </w:r>
          </w:p>
          <w:p w14:paraId="6B333B92">
            <w:pPr>
              <w:keepNext w:val="0"/>
              <w:keepLines w:val="0"/>
              <w:suppressLineNumbers w:val="0"/>
              <w:spacing w:before="0" w:beforeAutospacing="0" w:after="0" w:afterAutospacing="0" w:line="360" w:lineRule="auto"/>
              <w:ind w:left="0" w:right="0" w:firstLine="241" w:firstLineChars="100"/>
              <w:jc w:val="both"/>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实际监理费计算方法：</w:t>
            </w:r>
          </w:p>
          <w:p w14:paraId="59B55A4A">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bookmarkStart w:id="9" w:name="_Hlk173307501"/>
            <w:r>
              <w:rPr>
                <w:rFonts w:hint="eastAsia" w:ascii="仿宋" w:hAnsi="仿宋" w:eastAsia="仿宋"/>
                <w:color w:val="auto"/>
                <w:sz w:val="24"/>
                <w:szCs w:val="24"/>
                <w:highlight w:val="none"/>
              </w:rPr>
              <w:t>①本项目中标监理费不作为支付监理费及结算依据，实际监理费按费率计算，即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1600万元</w:t>
            </w:r>
            <w:r>
              <w:rPr>
                <w:rFonts w:hint="eastAsia" w:ascii="仿宋" w:hAnsi="仿宋" w:eastAsia="仿宋"/>
                <w:b/>
                <w:bCs/>
                <w:color w:val="auto"/>
                <w:sz w:val="24"/>
                <w:szCs w:val="24"/>
                <w:highlight w:val="none"/>
                <w:lang w:eastAsia="zh-CN"/>
              </w:rPr>
              <w:t>（项目总投资）</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02F1D7E8">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②合同监理费总额仅作为发包人向监理单位支付监理费进度款的参考依据，不作为最终监理费结算依据。</w:t>
            </w:r>
          </w:p>
          <w:p w14:paraId="270D5C22">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③每月按</w:t>
            </w:r>
            <w:r>
              <w:rPr>
                <w:rFonts w:hint="eastAsia" w:ascii="仿宋" w:hAnsi="仿宋" w:eastAsia="仿宋"/>
                <w:b/>
                <w:bCs/>
                <w:color w:val="auto"/>
                <w:sz w:val="24"/>
                <w:szCs w:val="24"/>
                <w:highlight w:val="none"/>
                <w:u w:val="single"/>
              </w:rPr>
              <w:t>实际</w:t>
            </w:r>
            <w:r>
              <w:rPr>
                <w:rFonts w:hint="default" w:ascii="仿宋" w:hAnsi="仿宋" w:eastAsia="仿宋"/>
                <w:b/>
                <w:bCs/>
                <w:color w:val="auto"/>
                <w:sz w:val="24"/>
                <w:szCs w:val="24"/>
                <w:highlight w:val="none"/>
                <w:u w:val="single"/>
              </w:rPr>
              <w:t>完成工程量造价×中标监理费率×</w:t>
            </w:r>
            <w:r>
              <w:rPr>
                <w:rFonts w:hint="eastAsia" w:ascii="仿宋" w:hAnsi="仿宋" w:eastAsia="仿宋"/>
                <w:b/>
                <w:bCs/>
                <w:color w:val="auto"/>
                <w:sz w:val="24"/>
                <w:szCs w:val="24"/>
                <w:highlight w:val="none"/>
                <w:u w:val="single"/>
              </w:rPr>
              <w:t>8</w:t>
            </w:r>
            <w:r>
              <w:rPr>
                <w:rFonts w:hint="default" w:ascii="仿宋" w:hAnsi="仿宋" w:eastAsia="仿宋"/>
                <w:b/>
                <w:bCs/>
                <w:color w:val="auto"/>
                <w:sz w:val="24"/>
                <w:szCs w:val="24"/>
                <w:highlight w:val="none"/>
                <w:u w:val="single"/>
              </w:rPr>
              <w:t>0%</w:t>
            </w:r>
            <w:r>
              <w:rPr>
                <w:rFonts w:hint="default" w:ascii="仿宋" w:hAnsi="仿宋" w:eastAsia="仿宋"/>
                <w:color w:val="auto"/>
                <w:sz w:val="24"/>
                <w:szCs w:val="24"/>
                <w:highlight w:val="none"/>
              </w:rPr>
              <w:t>支付，工程竣工验收合</w:t>
            </w:r>
            <w:r>
              <w:rPr>
                <w:rFonts w:hint="eastAsia" w:ascii="仿宋" w:hAnsi="仿宋" w:eastAsia="仿宋"/>
                <w:color w:val="auto"/>
                <w:sz w:val="24"/>
                <w:szCs w:val="24"/>
                <w:highlight w:val="none"/>
              </w:rPr>
              <w:t>格后付至</w:t>
            </w:r>
            <w:r>
              <w:rPr>
                <w:rFonts w:hint="default" w:ascii="仿宋" w:hAnsi="仿宋" w:eastAsia="仿宋"/>
                <w:b/>
                <w:bCs/>
                <w:color w:val="auto"/>
                <w:sz w:val="24"/>
                <w:szCs w:val="24"/>
                <w:highlight w:val="none"/>
                <w:u w:val="single"/>
              </w:rPr>
              <w:t>8</w:t>
            </w:r>
            <w:r>
              <w:rPr>
                <w:rFonts w:hint="eastAsia" w:ascii="仿宋" w:hAnsi="仿宋" w:eastAsia="仿宋"/>
                <w:b/>
                <w:bCs/>
                <w:color w:val="auto"/>
                <w:sz w:val="24"/>
                <w:szCs w:val="24"/>
                <w:highlight w:val="none"/>
                <w:u w:val="single"/>
              </w:rPr>
              <w:t>5</w:t>
            </w:r>
            <w:r>
              <w:rPr>
                <w:rFonts w:hint="default" w:ascii="仿宋" w:hAnsi="仿宋" w:eastAsia="仿宋"/>
                <w:b/>
                <w:bCs/>
                <w:color w:val="auto"/>
                <w:sz w:val="24"/>
                <w:szCs w:val="24"/>
                <w:highlight w:val="none"/>
                <w:u w:val="single"/>
              </w:rPr>
              <w:t>%</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lang w:val="en-US" w:eastAsia="zh-CN"/>
              </w:rPr>
              <w:t>不超过合同价的85%</w:t>
            </w:r>
            <w:r>
              <w:rPr>
                <w:rFonts w:hint="eastAsia" w:ascii="仿宋" w:hAnsi="仿宋" w:eastAsia="仿宋"/>
                <w:b/>
                <w:bCs/>
                <w:color w:val="auto"/>
                <w:sz w:val="24"/>
                <w:szCs w:val="24"/>
                <w:highlight w:val="none"/>
                <w:lang w:eastAsia="zh-CN"/>
              </w:rPr>
              <w:t>）</w:t>
            </w:r>
            <w:r>
              <w:rPr>
                <w:rFonts w:hint="default"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hint="default" w:ascii="仿宋" w:hAnsi="仿宋" w:eastAsia="仿宋"/>
                <w:color w:val="auto"/>
                <w:sz w:val="24"/>
                <w:szCs w:val="24"/>
                <w:highlight w:val="none"/>
              </w:rPr>
              <w:t>，向</w:t>
            </w:r>
            <w:r>
              <w:rPr>
                <w:rFonts w:hint="eastAsia" w:ascii="仿宋" w:hAnsi="仿宋" w:eastAsia="仿宋"/>
                <w:color w:val="auto"/>
                <w:sz w:val="24"/>
                <w:szCs w:val="24"/>
                <w:highlight w:val="none"/>
              </w:rPr>
              <w:t>招标人或招标人指定的单位书面移交完毕，工程竣工资料和监理资料整理并验收合格并移交给相关部门后付至监理范围内工程结算价</w:t>
            </w:r>
            <w:r>
              <w:rPr>
                <w:rFonts w:hint="default" w:ascii="仿宋" w:hAnsi="仿宋" w:eastAsia="仿宋"/>
                <w:color w:val="auto"/>
                <w:sz w:val="24"/>
                <w:szCs w:val="24"/>
                <w:highlight w:val="none"/>
              </w:rPr>
              <w:t>×中标监</w:t>
            </w:r>
            <w:r>
              <w:rPr>
                <w:rFonts w:hint="eastAsia" w:ascii="仿宋" w:hAnsi="仿宋" w:eastAsia="仿宋"/>
                <w:color w:val="auto"/>
                <w:sz w:val="24"/>
                <w:szCs w:val="24"/>
                <w:highlight w:val="none"/>
              </w:rPr>
              <w:t>理费率的</w:t>
            </w:r>
            <w:r>
              <w:rPr>
                <w:rFonts w:hint="default" w:ascii="仿宋" w:hAnsi="仿宋" w:eastAsia="仿宋"/>
                <w:b/>
                <w:bCs/>
                <w:color w:val="auto"/>
                <w:sz w:val="24"/>
                <w:szCs w:val="24"/>
                <w:highlight w:val="none"/>
                <w:u w:val="single"/>
              </w:rPr>
              <w:t>9</w:t>
            </w:r>
            <w:r>
              <w:rPr>
                <w:rFonts w:hint="eastAsia" w:ascii="仿宋" w:hAnsi="仿宋" w:eastAsia="仿宋"/>
                <w:b/>
                <w:bCs/>
                <w:color w:val="auto"/>
                <w:sz w:val="24"/>
                <w:szCs w:val="24"/>
                <w:highlight w:val="none"/>
                <w:u w:val="single"/>
              </w:rPr>
              <w:t>7</w:t>
            </w:r>
            <w:r>
              <w:rPr>
                <w:rFonts w:hint="default" w:ascii="仿宋" w:hAnsi="仿宋" w:eastAsia="仿宋"/>
                <w:b/>
                <w:bCs/>
                <w:color w:val="auto"/>
                <w:sz w:val="24"/>
                <w:szCs w:val="24"/>
                <w:highlight w:val="none"/>
                <w:u w:val="single"/>
              </w:rPr>
              <w:t>%</w:t>
            </w:r>
            <w:r>
              <w:rPr>
                <w:rFonts w:hint="default" w:ascii="仿宋" w:hAnsi="仿宋" w:eastAsia="仿宋"/>
                <w:color w:val="auto"/>
                <w:sz w:val="24"/>
                <w:szCs w:val="24"/>
                <w:highlight w:val="none"/>
              </w:rPr>
              <w:t>，余款（计算方式同上）待质保期满质量回访合格后一次性</w:t>
            </w:r>
            <w:r>
              <w:rPr>
                <w:rFonts w:hint="eastAsia" w:ascii="仿宋" w:hAnsi="仿宋" w:eastAsia="仿宋"/>
                <w:color w:val="auto"/>
                <w:sz w:val="24"/>
                <w:szCs w:val="24"/>
                <w:highlight w:val="none"/>
              </w:rPr>
              <w:t>返还。</w:t>
            </w:r>
          </w:p>
          <w:p w14:paraId="56BE80DD">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w:t>
            </w:r>
            <w:r>
              <w:rPr>
                <w:rFonts w:hint="eastAsia" w:ascii="仿宋" w:hAnsi="仿宋" w:eastAsia="仿宋"/>
                <w:b/>
                <w:bCs/>
                <w:color w:val="auto"/>
                <w:sz w:val="24"/>
                <w:szCs w:val="24"/>
                <w:highlight w:val="none"/>
              </w:rPr>
              <w:t>最终</w:t>
            </w:r>
            <w:r>
              <w:rPr>
                <w:rFonts w:hint="eastAsia" w:ascii="仿宋" w:hAnsi="仿宋" w:eastAsia="仿宋"/>
                <w:color w:val="auto"/>
                <w:sz w:val="24"/>
                <w:szCs w:val="24"/>
                <w:highlight w:val="none"/>
              </w:rPr>
              <w:t>工程竣工结算核定价为计费基数，</w:t>
            </w:r>
            <w:r>
              <w:rPr>
                <w:rFonts w:hint="default" w:ascii="仿宋" w:hAnsi="仿宋" w:eastAsia="仿宋"/>
                <w:color w:val="auto"/>
                <w:sz w:val="24"/>
                <w:szCs w:val="24"/>
                <w:highlight w:val="none"/>
              </w:rPr>
              <w:t>进度款计费基础暂按施工单位中标价作为计费基础，计费费率按监理单位中标的费率</w:t>
            </w:r>
            <w:r>
              <w:rPr>
                <w:rFonts w:hint="eastAsia" w:ascii="仿宋" w:hAnsi="仿宋" w:eastAsia="仿宋"/>
                <w:color w:val="auto"/>
                <w:sz w:val="24"/>
                <w:szCs w:val="24"/>
                <w:highlight w:val="none"/>
              </w:rPr>
              <w:t>。</w:t>
            </w:r>
          </w:p>
          <w:p w14:paraId="04FC5BF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w:t>
            </w:r>
            <w:r>
              <w:rPr>
                <w:rFonts w:hint="eastAsia" w:ascii="仿宋" w:hAnsi="仿宋" w:eastAsia="仿宋"/>
                <w:b/>
                <w:bCs/>
                <w:color w:val="auto"/>
                <w:sz w:val="24"/>
                <w:szCs w:val="24"/>
                <w:highlight w:val="none"/>
              </w:rPr>
              <w:t>固定费率</w:t>
            </w:r>
            <w:r>
              <w:rPr>
                <w:rFonts w:hint="eastAsia" w:ascii="仿宋" w:hAnsi="仿宋" w:eastAsia="仿宋"/>
                <w:color w:val="auto"/>
                <w:sz w:val="24"/>
                <w:szCs w:val="24"/>
                <w:highlight w:val="none"/>
              </w:rPr>
              <w:t>”。监理单位的中标费率不因工程量的增减和政策性调整而改变。在本合同执行完毕、工程竣工验收、决算后，以最终竣工结算审定总额乘以中标监理费率确定监理服务最终实际收费。</w:t>
            </w:r>
            <w:bookmarkEnd w:id="9"/>
          </w:p>
          <w:p w14:paraId="0A141BC0">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③本项目计划工期为【180】日历天，若建安工程施工工期超过计划工期，监理服务费不增加。</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26BB7920">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仿宋" w:hAnsi="仿宋" w:eastAsia="仿宋" w:cs="Segoe UI Symbol"/>
                <w:b/>
                <w:bCs w:val="0"/>
                <w:color w:val="auto"/>
                <w:sz w:val="24"/>
                <w:szCs w:val="24"/>
                <w:highlight w:val="none"/>
              </w:rPr>
              <w:t>监理大纲编制采用：</w:t>
            </w: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6"/>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324D8F85">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不采用“评定分离”方式的项目，招标人原则上将在中标候选人公示结束后的次日确定中标人并公告中标（定标）结果，最长不超过</w:t>
            </w:r>
            <w:r>
              <w:rPr>
                <w:rFonts w:hint="default" w:ascii="仿宋" w:hAnsi="仿宋" w:eastAsia="仿宋" w:cs="Segoe UI Symbol"/>
                <w:color w:val="auto"/>
                <w:sz w:val="24"/>
                <w:szCs w:val="24"/>
                <w:highlight w:val="none"/>
              </w:rPr>
              <w:t>3日。</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default" w:ascii="仿宋" w:hAnsi="仿宋" w:eastAsia="仿宋" w:cs="宋体"/>
                <w:b/>
                <w:bCs/>
                <w:color w:val="auto"/>
                <w:sz w:val="24"/>
                <w:szCs w:val="24"/>
                <w:highlight w:val="none"/>
              </w:rPr>
              <w:t>4）</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0</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56"/>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tc>
      </w:tr>
    </w:tbl>
    <w:p w14:paraId="47F968FA">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10" w:name="_Toc174523179"/>
      <w:bookmarkStart w:id="11" w:name="_Toc129765774"/>
      <w:bookmarkStart w:id="12" w:name="_Toc174523090"/>
      <w:r>
        <w:rPr>
          <w:rFonts w:hint="eastAsia" w:ascii="仿宋" w:hAnsi="仿宋" w:eastAsia="仿宋"/>
          <w:color w:val="auto"/>
          <w:sz w:val="24"/>
          <w:szCs w:val="24"/>
          <w:highlight w:val="none"/>
        </w:rPr>
        <w:br w:type="page"/>
      </w:r>
    </w:p>
    <w:p w14:paraId="7E891B26">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10"/>
      <w:bookmarkEnd w:id="11"/>
      <w:bookmarkEnd w:id="12"/>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3"/>
        <w:spacing w:line="360" w:lineRule="auto"/>
        <w:rPr>
          <w:rFonts w:hint="eastAsia" w:ascii="仿宋" w:hAnsi="仿宋" w:eastAsia="仿宋"/>
          <w:color w:val="auto"/>
          <w:sz w:val="24"/>
          <w:szCs w:val="24"/>
          <w:highlight w:val="none"/>
        </w:rPr>
      </w:pPr>
      <w:bookmarkStart w:id="13" w:name="_Toc174523091"/>
      <w:bookmarkStart w:id="14" w:name="_Toc174523180"/>
      <w:bookmarkStart w:id="15" w:name="_Toc129765775"/>
    </w:p>
    <w:p w14:paraId="157640EF">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3"/>
      <w:bookmarkEnd w:id="14"/>
      <w:bookmarkEnd w:id="15"/>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14:paraId="3358B8C1">
      <w:pPr>
        <w:spacing w:line="360" w:lineRule="auto"/>
        <w:rPr>
          <w:rFonts w:hint="eastAsia" w:ascii="仿宋" w:hAnsi="仿宋" w:eastAsia="仿宋"/>
          <w:color w:val="auto"/>
          <w:sz w:val="24"/>
          <w:szCs w:val="24"/>
          <w:highlight w:val="none"/>
        </w:rPr>
      </w:pPr>
    </w:p>
    <w:p w14:paraId="7FA97713">
      <w:pPr>
        <w:pStyle w:val="6"/>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6"/>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6"/>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3"/>
        <w:spacing w:before="0" w:line="360" w:lineRule="auto"/>
        <w:rPr>
          <w:rFonts w:hint="eastAsia" w:ascii="仿宋" w:hAnsi="仿宋" w:eastAsia="仿宋"/>
          <w:color w:val="auto"/>
          <w:sz w:val="24"/>
          <w:szCs w:val="24"/>
          <w:highlight w:val="none"/>
        </w:rPr>
      </w:pPr>
      <w:bookmarkStart w:id="16" w:name="_Toc129765776"/>
      <w:bookmarkStart w:id="17" w:name="_Toc174523181"/>
      <w:bookmarkStart w:id="18" w:name="_Toc174523092"/>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6"/>
      <w:bookmarkEnd w:id="17"/>
      <w:bookmarkEnd w:id="18"/>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w:t>
            </w:r>
            <w:r>
              <w:rPr>
                <w:rFonts w:hint="eastAsia" w:ascii="仿宋" w:hAnsi="仿宋" w:eastAsia="仿宋"/>
                <w:b/>
                <w:color w:val="auto"/>
                <w:sz w:val="24"/>
                <w:szCs w:val="24"/>
                <w:highlight w:val="none"/>
                <w:u w:val="single"/>
                <w:lang w:val="en-US" w:eastAsia="zh-CN"/>
              </w:rPr>
              <w:t>市政公用</w:t>
            </w:r>
            <w:r>
              <w:rPr>
                <w:rFonts w:hint="eastAsia" w:ascii="仿宋" w:hAnsi="仿宋" w:eastAsia="仿宋"/>
                <w:b/>
                <w:color w:val="auto"/>
                <w:sz w:val="24"/>
                <w:szCs w:val="24"/>
                <w:highlight w:val="none"/>
                <w:u w:val="single"/>
              </w:rPr>
              <w:t>工程专业国家注册监理工程师资格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6"/>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6"/>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6"/>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9" w:name="_Toc174523182"/>
      <w:bookmarkStart w:id="20" w:name="_Toc174523093"/>
      <w:bookmarkStart w:id="21" w:name="_Toc129765777"/>
      <w:r>
        <w:rPr>
          <w:rFonts w:hint="eastAsia" w:ascii="仿宋" w:hAnsi="仿宋" w:eastAsia="仿宋"/>
          <w:color w:val="auto"/>
          <w:sz w:val="24"/>
          <w:szCs w:val="24"/>
          <w:highlight w:val="none"/>
        </w:rPr>
        <w:br w:type="page"/>
      </w:r>
    </w:p>
    <w:p w14:paraId="5672A3C1">
      <w:pPr>
        <w:pStyle w:val="3"/>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9"/>
      <w:bookmarkEnd w:id="20"/>
      <w:bookmarkEnd w:id="21"/>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FF0000"/>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FF0000"/>
                <w:sz w:val="24"/>
                <w:szCs w:val="24"/>
                <w:highlight w:val="none"/>
                <w:lang w:val="en-US" w:eastAsia="zh-CN"/>
              </w:rPr>
              <w:t>4</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w:t>
            </w:r>
            <w:r>
              <w:rPr>
                <w:rFonts w:hint="eastAsia" w:ascii="仿宋" w:hAnsi="仿宋" w:eastAsia="仿宋"/>
                <w:b/>
                <w:color w:val="auto"/>
                <w:sz w:val="24"/>
                <w:szCs w:val="24"/>
                <w:highlight w:val="none"/>
                <w:u w:val="single"/>
                <w:lang w:val="en-US" w:eastAsia="zh-CN"/>
              </w:rPr>
              <w:t>市政公用</w:t>
            </w:r>
            <w:r>
              <w:rPr>
                <w:rFonts w:hint="default" w:ascii="仿宋" w:hAnsi="仿宋" w:eastAsia="仿宋"/>
                <w:b/>
                <w:color w:val="auto"/>
                <w:sz w:val="24"/>
                <w:szCs w:val="24"/>
                <w:highlight w:val="none"/>
              </w:rPr>
              <w:t>工程专业《国家注册监理工程师注册执业证书》；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w:t>
            </w: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人</w:t>
            </w:r>
            <w:r>
              <w:rPr>
                <w:rFonts w:hint="default" w:ascii="仿宋" w:hAnsi="仿宋" w:eastAsia="仿宋"/>
                <w:b/>
                <w:color w:val="auto"/>
                <w:sz w:val="24"/>
                <w:szCs w:val="24"/>
                <w:highlight w:val="none"/>
              </w:rPr>
              <w:t>，为</w:t>
            </w:r>
            <w:r>
              <w:rPr>
                <w:rFonts w:hint="eastAsia" w:ascii="仿宋" w:hAnsi="仿宋" w:eastAsia="仿宋"/>
                <w:b/>
                <w:color w:val="auto"/>
                <w:sz w:val="24"/>
                <w:szCs w:val="24"/>
                <w:highlight w:val="none"/>
                <w:u w:val="single"/>
                <w:lang w:val="en-US" w:eastAsia="zh-CN"/>
              </w:rPr>
              <w:t>市政公用</w:t>
            </w:r>
            <w:r>
              <w:rPr>
                <w:rFonts w:hint="default" w:ascii="仿宋" w:hAnsi="仿宋" w:eastAsia="仿宋"/>
                <w:b/>
                <w:color w:val="auto"/>
                <w:sz w:val="24"/>
                <w:szCs w:val="24"/>
                <w:highlight w:val="none"/>
              </w:rPr>
              <w:t>工程专业且需具有有效的《国家注册监理工程师注册执业证书》；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14:paraId="451ADBF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14:paraId="40CF977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24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3"/>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000000"/>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14:paraId="6D1DE6ED">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5361A0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2"/>
        <w:spacing w:line="360" w:lineRule="auto"/>
        <w:rPr>
          <w:rFonts w:hint="eastAsia" w:ascii="仿宋" w:hAnsi="仿宋" w:eastAsia="仿宋"/>
          <w:color w:val="auto"/>
          <w:sz w:val="32"/>
          <w:szCs w:val="32"/>
          <w:highlight w:val="none"/>
        </w:rPr>
      </w:pPr>
      <w:bookmarkStart w:id="22" w:name="_Toc174523183"/>
      <w:bookmarkStart w:id="23" w:name="_Toc129765778"/>
      <w:bookmarkStart w:id="24" w:name="_Toc174523094"/>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2"/>
      <w:bookmarkEnd w:id="23"/>
      <w:bookmarkEnd w:id="24"/>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2373"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3905"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有效的注册执业证书、在社保平台下载的社保缴纳情况或由社保部门盖章出具的证明复印件或扫描件放入投标文件中，纸质证照和电子证照皆可。</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2373"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2373"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2373"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3905"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6C8F06AF">
      <w:pPr>
        <w:pStyle w:val="4"/>
        <w:rPr>
          <w:rFonts w:hint="eastAsia" w:ascii="仿宋" w:hAnsi="仿宋" w:eastAsia="仿宋"/>
          <w:color w:val="auto"/>
          <w:sz w:val="24"/>
          <w:szCs w:val="24"/>
          <w:highlight w:val="none"/>
        </w:rPr>
      </w:pPr>
    </w:p>
    <w:p w14:paraId="6613A067">
      <w:pPr>
        <w:pStyle w:val="7"/>
        <w:spacing w:line="360" w:lineRule="auto"/>
        <w:rPr>
          <w:rFonts w:hint="eastAsia" w:ascii="仿宋" w:hAnsi="仿宋" w:eastAsia="仿宋"/>
          <w:b w:val="0"/>
          <w:color w:val="auto"/>
          <w:sz w:val="24"/>
          <w:szCs w:val="28"/>
          <w:highlight w:val="none"/>
        </w:rPr>
      </w:pPr>
      <w:bookmarkStart w:id="25" w:name="_Toc174523184"/>
      <w:bookmarkStart w:id="26" w:name="_Toc174523095"/>
      <w:r>
        <w:rPr>
          <w:rFonts w:ascii="仿宋" w:hAnsi="仿宋" w:eastAsia="仿宋"/>
          <w:color w:val="auto"/>
          <w:sz w:val="24"/>
          <w:szCs w:val="28"/>
          <w:highlight w:val="none"/>
        </w:rPr>
        <w:t>4. 投标文件技术标及商务标评审</w:t>
      </w:r>
      <w:bookmarkEnd w:id="25"/>
      <w:bookmarkEnd w:id="26"/>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D0CDFEB">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10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15ED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192" w:type="dxa"/>
            <w:vAlign w:val="center"/>
          </w:tcPr>
          <w:p w14:paraId="661D80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30" w:type="dxa"/>
            <w:vAlign w:val="center"/>
          </w:tcPr>
          <w:p w14:paraId="7B546B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2EBE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442DFD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11BEC04C">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10</w:t>
            </w:r>
            <w:r>
              <w:rPr>
                <w:rFonts w:hint="default" w:ascii="仿宋" w:hAnsi="仿宋" w:eastAsia="仿宋"/>
                <w:b/>
                <w:color w:val="auto"/>
                <w:sz w:val="24"/>
                <w:szCs w:val="24"/>
                <w:highlight w:val="none"/>
              </w:rPr>
              <w:t>分）</w:t>
            </w:r>
          </w:p>
        </w:tc>
        <w:tc>
          <w:tcPr>
            <w:tcW w:w="7330" w:type="dxa"/>
            <w:vAlign w:val="center"/>
          </w:tcPr>
          <w:p w14:paraId="23585E8D">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0B5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A39725B">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45374C09">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141F8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7D22D751">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9C118F1">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3C18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ADFFF67">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796634D8">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酌情打分，内容全面、工作流程得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C2C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2EBAD193">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3F9206E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1分，内容较全面工作较流畅得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bl>
    <w:p w14:paraId="694B94B1">
      <w:pPr>
        <w:pStyle w:val="56"/>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 w:val="24"/>
          <w:szCs w:val="24"/>
          <w:highlight w:val="none"/>
          <w:lang w:val="en-US" w:eastAsia="zh-CN"/>
        </w:rPr>
        <w:t>投标人编制的监理大纲</w:t>
      </w:r>
      <w:r>
        <w:rPr>
          <w:rFonts w:hint="eastAsia" w:ascii="仿宋" w:hAnsi="仿宋" w:eastAsia="仿宋"/>
          <w:b/>
          <w:bCs w:val="0"/>
          <w:color w:val="auto"/>
          <w:sz w:val="24"/>
          <w:szCs w:val="24"/>
          <w:highlight w:val="none"/>
          <w:lang w:val="en-US" w:eastAsia="zh-CN"/>
        </w:rPr>
        <w:t>不超过200页，否则酌情扣分。</w:t>
      </w:r>
      <w:r>
        <w:rPr>
          <w:rFonts w:hint="eastAsia" w:ascii="仿宋" w:hAnsi="仿宋" w:eastAsia="仿宋"/>
          <w:b/>
          <w:bCs/>
          <w:color w:val="auto"/>
          <w:sz w:val="24"/>
          <w:szCs w:val="24"/>
          <w:highlight w:val="none"/>
        </w:rPr>
        <w:t>汇总各评委对“监理大纲”评审分值时，取所有评委评分的算术平均值为投标人监理大纲的最终得分，平均分保留2位小数，小数点后第3位“四舍五入”。对分值在90%以上（含）、60%以下（含）的，该评委要提出充足的理由，并在评标报告中书面记录。</w:t>
      </w: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30</w:t>
      </w:r>
      <w:r>
        <w:rPr>
          <w:rFonts w:hint="eastAsia" w:ascii="仿宋" w:hAnsi="仿宋" w:eastAsia="仿宋"/>
          <w:b/>
          <w:bCs/>
          <w:color w:val="auto"/>
          <w:sz w:val="24"/>
          <w:szCs w:val="24"/>
          <w:highlight w:val="none"/>
        </w:rPr>
        <w:t>分）</w:t>
      </w:r>
    </w:p>
    <w:tbl>
      <w:tblPr>
        <w:tblStyle w:val="58"/>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70"/>
        <w:gridCol w:w="6726"/>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40506664">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370" w:type="dxa"/>
            <w:vAlign w:val="center"/>
          </w:tcPr>
          <w:p w14:paraId="0B48FF87">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726" w:type="dxa"/>
            <w:vAlign w:val="center"/>
          </w:tcPr>
          <w:p w14:paraId="59924E09">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7911C07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370" w:type="dxa"/>
            <w:vAlign w:val="center"/>
          </w:tcPr>
          <w:p w14:paraId="349185BE">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rPr>
              <w:t>分）</w:t>
            </w:r>
          </w:p>
        </w:tc>
        <w:tc>
          <w:tcPr>
            <w:tcW w:w="6726" w:type="dxa"/>
          </w:tcPr>
          <w:p w14:paraId="740AEF45">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w:t>
            </w:r>
            <w:r>
              <w:rPr>
                <w:rFonts w:hint="default" w:ascii="仿宋" w:hAnsi="仿宋" w:eastAsia="仿宋"/>
                <w:b/>
                <w:bCs/>
                <w:color w:val="auto"/>
                <w:sz w:val="24"/>
                <w:szCs w:val="24"/>
                <w:highlight w:val="none"/>
              </w:rPr>
              <w:t>近</w:t>
            </w:r>
            <w:r>
              <w:rPr>
                <w:rFonts w:hint="eastAsia" w:ascii="仿宋" w:hAnsi="仿宋" w:eastAsia="仿宋"/>
                <w:b/>
                <w:bCs/>
                <w:color w:val="auto"/>
                <w:sz w:val="24"/>
                <w:szCs w:val="24"/>
                <w:highlight w:val="none"/>
              </w:rPr>
              <w:t>五</w:t>
            </w:r>
            <w:r>
              <w:rPr>
                <w:rFonts w:hint="default" w:ascii="仿宋" w:hAnsi="仿宋" w:eastAsia="仿宋"/>
                <w:b/>
                <w:bCs/>
                <w:color w:val="auto"/>
                <w:sz w:val="24"/>
                <w:szCs w:val="24"/>
                <w:highlight w:val="none"/>
              </w:rPr>
              <w:t>年</w:t>
            </w:r>
            <w:r>
              <w:rPr>
                <w:rFonts w:hint="eastAsia" w:ascii="仿宋" w:hAnsi="仿宋" w:eastAsia="仿宋"/>
                <w:b/>
                <w:bCs/>
                <w:color w:val="auto"/>
                <w:sz w:val="24"/>
                <w:szCs w:val="24"/>
                <w:highlight w:val="none"/>
              </w:rPr>
              <w:t>内监理过一项</w:t>
            </w:r>
            <w:r>
              <w:rPr>
                <w:rFonts w:hint="eastAsia" w:ascii="仿宋" w:hAnsi="仿宋" w:eastAsia="仿宋"/>
                <w:b/>
                <w:bCs/>
                <w:color w:val="auto"/>
                <w:sz w:val="24"/>
                <w:szCs w:val="24"/>
                <w:highlight w:val="none"/>
                <w:lang w:val="en-US" w:eastAsia="zh-CN"/>
              </w:rPr>
              <w:t>单项</w:t>
            </w:r>
            <w:r>
              <w:rPr>
                <w:rFonts w:hint="eastAsia" w:ascii="仿宋" w:hAnsi="仿宋" w:eastAsia="仿宋"/>
                <w:b/>
                <w:bCs/>
                <w:color w:val="auto"/>
                <w:sz w:val="24"/>
                <w:szCs w:val="24"/>
                <w:highlight w:val="none"/>
              </w:rPr>
              <w:t>施工金额≥</w:t>
            </w:r>
            <w:r>
              <w:rPr>
                <w:rFonts w:hint="eastAsia" w:ascii="仿宋" w:hAnsi="仿宋" w:eastAsia="仿宋"/>
                <w:b/>
                <w:bCs/>
                <w:color w:val="auto"/>
                <w:sz w:val="24"/>
                <w:szCs w:val="24"/>
                <w:highlight w:val="none"/>
                <w:lang w:val="en-US" w:eastAsia="zh-CN"/>
              </w:rPr>
              <w:t>800万</w:t>
            </w:r>
            <w:r>
              <w:rPr>
                <w:rFonts w:hint="default" w:ascii="仿宋" w:hAnsi="仿宋" w:eastAsia="仿宋"/>
                <w:b/>
                <w:bCs/>
                <w:color w:val="auto"/>
                <w:sz w:val="24"/>
                <w:szCs w:val="24"/>
                <w:highlight w:val="none"/>
              </w:rPr>
              <w:t>元的</w:t>
            </w:r>
            <w:r>
              <w:rPr>
                <w:rFonts w:hint="eastAsia" w:ascii="仿宋" w:hAnsi="仿宋" w:eastAsia="仿宋"/>
                <w:b/>
                <w:bCs/>
                <w:color w:val="auto"/>
                <w:sz w:val="24"/>
                <w:szCs w:val="24"/>
                <w:highlight w:val="none"/>
                <w:lang w:val="en-US" w:eastAsia="zh-CN"/>
              </w:rPr>
              <w:t>市政公用</w:t>
            </w:r>
            <w:r>
              <w:rPr>
                <w:rFonts w:hint="default" w:ascii="仿宋" w:hAnsi="仿宋" w:eastAsia="仿宋"/>
                <w:b/>
                <w:bCs/>
                <w:color w:val="auto"/>
                <w:sz w:val="24"/>
                <w:szCs w:val="24"/>
                <w:highlight w:val="none"/>
              </w:rPr>
              <w:t>工程监理业绩监理业绩的，每提供一份有效的监理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3</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6</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3BFEF44F">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的金额为准；若无法体现或不满足上述业绩指标的，视为无效业绩；</w:t>
            </w:r>
          </w:p>
          <w:p w14:paraId="170D6D8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vAlign w:val="center"/>
          </w:tcPr>
          <w:p w14:paraId="5CFBCB31">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370" w:type="dxa"/>
            <w:vMerge w:val="restart"/>
            <w:vAlign w:val="center"/>
          </w:tcPr>
          <w:p w14:paraId="1FC4C93B">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bookmarkStart w:id="27" w:name="_Hlk173746532"/>
            <w:r>
              <w:rPr>
                <w:rFonts w:hint="eastAsia" w:ascii="仿宋" w:hAnsi="仿宋" w:eastAsia="仿宋"/>
                <w:color w:val="auto"/>
                <w:sz w:val="24"/>
                <w:szCs w:val="24"/>
                <w:highlight w:val="none"/>
              </w:rPr>
              <w:t>企业</w:t>
            </w:r>
            <w:bookmarkEnd w:id="27"/>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726" w:type="dxa"/>
          </w:tcPr>
          <w:p w14:paraId="12E550AC">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lang w:val="en-US" w:eastAsia="zh-CN"/>
              </w:rPr>
              <w:t>1、</w:t>
            </w:r>
            <w:r>
              <w:rPr>
                <w:rFonts w:hint="eastAsia" w:ascii="仿宋" w:hAnsi="仿宋" w:eastAsia="仿宋"/>
                <w:b/>
                <w:bCs/>
                <w:color w:val="auto"/>
                <w:sz w:val="24"/>
                <w:szCs w:val="24"/>
                <w:highlight w:val="none"/>
              </w:rPr>
              <w:t>投标人企业近五年内监理的</w:t>
            </w:r>
            <w:r>
              <w:rPr>
                <w:rFonts w:hint="eastAsia" w:ascii="仿宋" w:hAnsi="仿宋" w:eastAsia="仿宋"/>
                <w:b/>
                <w:bCs/>
                <w:color w:val="auto"/>
                <w:sz w:val="24"/>
                <w:szCs w:val="24"/>
                <w:highlight w:val="none"/>
                <w:lang w:val="en-US" w:eastAsia="zh-CN"/>
              </w:rPr>
              <w:t>市政公用</w:t>
            </w:r>
            <w:r>
              <w:rPr>
                <w:rFonts w:hint="default" w:ascii="仿宋" w:hAnsi="仿宋" w:eastAsia="仿宋"/>
                <w:b/>
                <w:bCs/>
                <w:color w:val="auto"/>
                <w:sz w:val="24"/>
                <w:szCs w:val="24"/>
                <w:highlight w:val="none"/>
              </w:rPr>
              <w:t>工程</w:t>
            </w:r>
            <w:r>
              <w:rPr>
                <w:rFonts w:hint="eastAsia" w:ascii="仿宋" w:hAnsi="仿宋" w:eastAsia="仿宋"/>
                <w:b/>
                <w:bCs/>
                <w:color w:val="auto"/>
                <w:sz w:val="24"/>
                <w:szCs w:val="24"/>
                <w:highlight w:val="none"/>
              </w:rPr>
              <w:t>项目获得过</w:t>
            </w:r>
            <w:r>
              <w:rPr>
                <w:rFonts w:hint="eastAsia" w:ascii="仿宋" w:hAnsi="仿宋" w:eastAsia="仿宋"/>
                <w:b/>
                <w:bCs/>
                <w:color w:val="auto"/>
                <w:sz w:val="24"/>
                <w:szCs w:val="24"/>
                <w:highlight w:val="none"/>
                <w:lang w:val="en-US" w:eastAsia="zh-CN"/>
              </w:rPr>
              <w:t>地</w:t>
            </w:r>
            <w:r>
              <w:rPr>
                <w:rFonts w:hint="eastAsia" w:ascii="仿宋" w:hAnsi="仿宋" w:eastAsia="仿宋"/>
                <w:b/>
                <w:bCs/>
                <w:color w:val="auto"/>
                <w:sz w:val="24"/>
                <w:szCs w:val="24"/>
                <w:highlight w:val="none"/>
              </w:rPr>
              <w:t>市级及以上优质工程奖</w:t>
            </w:r>
            <w:r>
              <w:rPr>
                <w:rFonts w:hint="eastAsia" w:ascii="仿宋" w:hAnsi="仿宋" w:eastAsia="仿宋"/>
                <w:b/>
                <w:bCs/>
                <w:color w:val="auto"/>
                <w:sz w:val="24"/>
                <w:szCs w:val="24"/>
                <w:highlight w:val="none"/>
                <w:lang w:val="en-US" w:eastAsia="zh-CN"/>
              </w:rPr>
              <w:t>荣誉</w:t>
            </w:r>
            <w:r>
              <w:rPr>
                <w:rFonts w:hint="eastAsia" w:ascii="仿宋" w:hAnsi="仿宋" w:eastAsia="仿宋"/>
                <w:b/>
                <w:bCs/>
                <w:color w:val="auto"/>
                <w:sz w:val="24"/>
                <w:szCs w:val="24"/>
                <w:highlight w:val="none"/>
              </w:rPr>
              <w:t>的得</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rPr>
              <w:t>本项满分</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p>
          <w:p w14:paraId="0A1E981C">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同一奖项荣誉不予累计计分</w:t>
            </w:r>
            <w:r>
              <w:rPr>
                <w:rFonts w:hint="eastAsia" w:ascii="仿宋" w:hAnsi="仿宋" w:eastAsia="仿宋"/>
                <w:color w:val="auto"/>
                <w:sz w:val="24"/>
                <w:szCs w:val="24"/>
                <w:highlight w:val="none"/>
                <w:lang w:eastAsia="zh-CN"/>
              </w:rPr>
              <w:t>；</w:t>
            </w:r>
          </w:p>
          <w:p w14:paraId="34799EA4">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3C66589">
            <w:pPr>
              <w:keepNext w:val="0"/>
              <w:keepLines w:val="0"/>
              <w:suppressLineNumbers w:val="0"/>
              <w:spacing w:before="0" w:beforeAutospacing="0" w:after="0" w:afterAutospacing="0" w:line="24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④</w:t>
            </w:r>
            <w:r>
              <w:rPr>
                <w:rFonts w:hint="eastAsia" w:ascii="仿宋" w:hAnsi="仿宋" w:eastAsia="仿宋"/>
                <w:color w:val="auto"/>
                <w:sz w:val="24"/>
                <w:szCs w:val="24"/>
                <w:highlight w:val="none"/>
              </w:rPr>
              <w:t>荣誉称号仅限以投标单位名称(不含总公司或下属公司)所获得的荣誉称号，否则不予计分。</w:t>
            </w:r>
          </w:p>
        </w:tc>
      </w:tr>
      <w:tr w14:paraId="630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vAlign w:val="center"/>
          </w:tcPr>
          <w:p w14:paraId="624E1C3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p>
        </w:tc>
        <w:tc>
          <w:tcPr>
            <w:tcW w:w="1370" w:type="dxa"/>
            <w:vMerge w:val="continue"/>
            <w:vAlign w:val="center"/>
          </w:tcPr>
          <w:p w14:paraId="3741F83A">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p>
        </w:tc>
        <w:tc>
          <w:tcPr>
            <w:tcW w:w="6726" w:type="dxa"/>
          </w:tcPr>
          <w:p w14:paraId="25B28370">
            <w:pPr>
              <w:keepNext w:val="0"/>
              <w:keepLines w:val="0"/>
              <w:widowControl/>
              <w:suppressLineNumbers w:val="0"/>
              <w:autoSpaceDE/>
              <w:autoSpaceDN/>
              <w:snapToGrid/>
              <w:spacing w:before="0" w:beforeAutospacing="0" w:after="0" w:afterAutospacing="0" w:line="240" w:lineRule="auto"/>
              <w:ind w:left="0" w:right="0" w:firstLine="241" w:firstLineChars="1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投标人近五年内获得过地市级及以上</w:t>
            </w:r>
            <w:r>
              <w:rPr>
                <w:rFonts w:hint="eastAsia" w:ascii="仿宋" w:hAnsi="仿宋" w:eastAsia="仿宋" w:cs="仿宋"/>
                <w:b/>
                <w:bCs/>
                <w:color w:val="auto"/>
                <w:sz w:val="24"/>
                <w:szCs w:val="24"/>
                <w:highlight w:val="none"/>
                <w:lang w:val="en-US" w:eastAsia="zh-CN"/>
              </w:rPr>
              <w:t>荣誉、表彰或</w:t>
            </w:r>
            <w:r>
              <w:rPr>
                <w:rFonts w:hint="eastAsia" w:ascii="仿宋" w:hAnsi="仿宋" w:eastAsia="仿宋" w:cs="仿宋"/>
                <w:b/>
                <w:bCs/>
                <w:color w:val="auto"/>
                <w:sz w:val="24"/>
                <w:szCs w:val="24"/>
                <w:highlight w:val="none"/>
              </w:rPr>
              <w:t>称号的每个得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分，本项满分</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21B9AE2D">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①“近五年”是指：</w:t>
            </w:r>
            <w:r>
              <w:rPr>
                <w:rFonts w:hint="eastAsia" w:ascii="仿宋" w:hAnsi="仿宋" w:eastAsia="仿宋" w:cs="仿宋"/>
                <w:color w:val="auto"/>
                <w:sz w:val="24"/>
                <w:szCs w:val="24"/>
                <w:highlight w:val="none"/>
                <w:lang w:val="en-US" w:eastAsia="zh-CN"/>
              </w:rPr>
              <w:t>自开标之日起往前追溯5年</w:t>
            </w:r>
            <w:r>
              <w:rPr>
                <w:rFonts w:hint="eastAsia" w:ascii="仿宋" w:hAnsi="仿宋" w:eastAsia="仿宋" w:cs="仿宋"/>
                <w:color w:val="auto"/>
                <w:sz w:val="24"/>
                <w:szCs w:val="24"/>
                <w:highlight w:val="none"/>
              </w:rPr>
              <w:t>(时间以“获奖证明材料”中的落款时间为准，余同)，否则不予计分。</w:t>
            </w:r>
          </w:p>
          <w:p w14:paraId="0D4BB48F">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②“获奖证明材料”是指：行政主管部门或建设</w:t>
            </w:r>
            <w:r>
              <w:rPr>
                <w:rFonts w:hint="eastAsia" w:ascii="仿宋" w:hAnsi="仿宋" w:eastAsia="仿宋" w:cs="仿宋"/>
                <w:color w:val="auto"/>
                <w:sz w:val="24"/>
                <w:szCs w:val="24"/>
                <w:highlight w:val="none"/>
                <w:lang w:val="en-US" w:eastAsia="zh-CN"/>
              </w:rPr>
              <w:t>行政主管</w:t>
            </w:r>
            <w:r>
              <w:rPr>
                <w:rFonts w:hint="eastAsia" w:ascii="仿宋" w:hAnsi="仿宋" w:eastAsia="仿宋" w:cs="仿宋"/>
                <w:color w:val="auto"/>
                <w:sz w:val="24"/>
                <w:szCs w:val="24"/>
                <w:highlight w:val="none"/>
              </w:rPr>
              <w:t>部门或行业协会（行业协会可在中国社会组织政务服务平台网站查询，提供网站查询截图，否则不予计分）颁发的荣誉证书(或红头文件)，提供扫描件上传至电子投标文件中</w:t>
            </w:r>
            <w:r>
              <w:rPr>
                <w:rFonts w:hint="eastAsia" w:ascii="仿宋" w:hAnsi="仿宋" w:eastAsia="仿宋" w:cs="仿宋"/>
                <w:color w:val="auto"/>
                <w:sz w:val="24"/>
                <w:szCs w:val="24"/>
                <w:highlight w:val="none"/>
                <w:lang w:eastAsia="zh-CN"/>
              </w:rPr>
              <w:t>；若荣誉已评选公示结束，但暂未发文发证的，可提供颁奖单位官方网站发布的公示名单截图（截图中必须能明确显示网址、公示期限、单位名称）扫描件至投标文件中；否则不予计分</w:t>
            </w:r>
            <w:r>
              <w:rPr>
                <w:rFonts w:hint="eastAsia" w:ascii="仿宋" w:hAnsi="仿宋" w:eastAsia="仿宋" w:cs="仿宋"/>
                <w:color w:val="auto"/>
                <w:sz w:val="24"/>
                <w:szCs w:val="24"/>
                <w:highlight w:val="none"/>
              </w:rPr>
              <w:t>。同一奖项荣誉不予累计计分。</w:t>
            </w:r>
          </w:p>
          <w:p w14:paraId="21DE1313">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s="仿宋"/>
                <w:color w:val="auto"/>
                <w:sz w:val="24"/>
                <w:szCs w:val="24"/>
                <w:highlight w:val="none"/>
              </w:rPr>
              <w:t>③荣誉称号仅限以投标单位名称(不含总公司或下属公司)所获得的荣誉称号，否则不予计分。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0278F3B">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370" w:type="dxa"/>
            <w:shd w:val="clear" w:color="auto" w:fill="auto"/>
            <w:vAlign w:val="center"/>
          </w:tcPr>
          <w:p w14:paraId="50690860">
            <w:pPr>
              <w:keepNext w:val="0"/>
              <w:keepLines w:val="0"/>
              <w:suppressLineNumbers w:val="0"/>
              <w:spacing w:before="0" w:beforeAutospacing="0" w:after="0" w:afterAutospacing="0" w:line="24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24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9</w:t>
            </w:r>
            <w:r>
              <w:rPr>
                <w:rFonts w:hint="eastAsia" w:ascii="仿宋" w:hAnsi="仿宋" w:eastAsia="仿宋"/>
                <w:b w:val="0"/>
                <w:bCs/>
                <w:color w:val="auto"/>
                <w:sz w:val="24"/>
                <w:szCs w:val="24"/>
                <w:highlight w:val="none"/>
              </w:rPr>
              <w:t>分）</w:t>
            </w:r>
          </w:p>
        </w:tc>
        <w:tc>
          <w:tcPr>
            <w:tcW w:w="6726" w:type="dxa"/>
            <w:shd w:val="clear" w:color="auto" w:fill="auto"/>
            <w:vAlign w:val="top"/>
          </w:tcPr>
          <w:p w14:paraId="5E825688">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拟派总监理工程师在近</w:t>
            </w:r>
            <w:r>
              <w:rPr>
                <w:rFonts w:hint="eastAsia" w:ascii="仿宋" w:hAnsi="仿宋" w:eastAsia="仿宋"/>
                <w:b/>
                <w:bCs w:val="0"/>
                <w:color w:val="auto"/>
                <w:sz w:val="24"/>
                <w:szCs w:val="24"/>
                <w:highlight w:val="none"/>
              </w:rPr>
              <w:t>五</w:t>
            </w:r>
            <w:r>
              <w:rPr>
                <w:rFonts w:hint="default" w:ascii="仿宋" w:hAnsi="仿宋" w:eastAsia="仿宋"/>
                <w:b/>
                <w:bCs w:val="0"/>
                <w:color w:val="auto"/>
                <w:sz w:val="24"/>
                <w:szCs w:val="24"/>
                <w:highlight w:val="none"/>
              </w:rPr>
              <w:t>年监理过单项施工金额≥</w:t>
            </w:r>
            <w:r>
              <w:rPr>
                <w:rFonts w:hint="eastAsia" w:ascii="仿宋" w:hAnsi="仿宋" w:eastAsia="仿宋"/>
                <w:b/>
                <w:bCs/>
                <w:color w:val="auto"/>
                <w:sz w:val="24"/>
                <w:szCs w:val="24"/>
                <w:highlight w:val="none"/>
                <w:lang w:val="en-US" w:eastAsia="zh-CN"/>
              </w:rPr>
              <w:t>800</w:t>
            </w:r>
            <w:r>
              <w:rPr>
                <w:rFonts w:hint="eastAsia" w:ascii="仿宋" w:hAnsi="仿宋" w:eastAsia="仿宋"/>
                <w:b/>
                <w:bCs w:val="0"/>
                <w:color w:val="auto"/>
                <w:sz w:val="24"/>
                <w:szCs w:val="24"/>
                <w:highlight w:val="none"/>
                <w:lang w:val="en-US" w:eastAsia="zh-CN"/>
              </w:rPr>
              <w:t>万</w:t>
            </w:r>
            <w:r>
              <w:rPr>
                <w:rFonts w:hint="default" w:ascii="仿宋" w:hAnsi="仿宋" w:eastAsia="仿宋"/>
                <w:b/>
                <w:bCs w:val="0"/>
                <w:color w:val="auto"/>
                <w:sz w:val="24"/>
                <w:szCs w:val="24"/>
                <w:highlight w:val="none"/>
              </w:rPr>
              <w:t>元的</w:t>
            </w:r>
            <w:r>
              <w:rPr>
                <w:rFonts w:hint="eastAsia" w:ascii="仿宋" w:hAnsi="仿宋" w:eastAsia="仿宋"/>
                <w:b/>
                <w:bCs w:val="0"/>
                <w:color w:val="auto"/>
                <w:sz w:val="24"/>
                <w:szCs w:val="24"/>
                <w:highlight w:val="none"/>
                <w:lang w:val="en-US" w:eastAsia="zh-CN"/>
              </w:rPr>
              <w:t>市政公用</w:t>
            </w:r>
            <w:r>
              <w:rPr>
                <w:rFonts w:hint="default" w:ascii="仿宋" w:hAnsi="仿宋" w:eastAsia="仿宋"/>
                <w:b/>
                <w:bCs w:val="0"/>
                <w:color w:val="auto"/>
                <w:sz w:val="24"/>
                <w:szCs w:val="24"/>
                <w:highlight w:val="none"/>
              </w:rPr>
              <w:t>工程监理业绩中担任总监理工程师岗位的得</w:t>
            </w:r>
            <w:r>
              <w:rPr>
                <w:rFonts w:hint="eastAsia" w:ascii="仿宋" w:hAnsi="仿宋" w:eastAsia="仿宋"/>
                <w:b/>
                <w:bCs w:val="0"/>
                <w:color w:val="auto"/>
                <w:sz w:val="24"/>
                <w:szCs w:val="24"/>
                <w:highlight w:val="none"/>
                <w:lang w:val="en-US" w:eastAsia="zh-CN"/>
              </w:rPr>
              <w:t>3</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94735FC">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②业绩规模中的“合同金额”以监理合同中注明的“工程概算投资额或建筑安装工程费”的金额为准；</w:t>
            </w:r>
            <w:r>
              <w:rPr>
                <w:rFonts w:hint="default" w:ascii="仿宋" w:hAnsi="仿宋" w:eastAsia="仿宋"/>
                <w:b w:val="0"/>
                <w:bCs/>
                <w:color w:val="auto"/>
                <w:sz w:val="24"/>
                <w:szCs w:val="24"/>
                <w:highlight w:val="none"/>
              </w:rPr>
              <w:t>业绩建筑面积以工程竣工验收资料中建筑工程累计建筑面积为准</w:t>
            </w:r>
            <w:r>
              <w:rPr>
                <w:rFonts w:hint="eastAsia" w:ascii="仿宋" w:hAnsi="仿宋" w:eastAsia="仿宋"/>
                <w:b w:val="0"/>
                <w:bCs/>
                <w:color w:val="auto"/>
                <w:sz w:val="24"/>
                <w:szCs w:val="24"/>
                <w:highlight w:val="none"/>
                <w:lang w:eastAsia="zh-CN"/>
              </w:rPr>
              <w:t>；</w:t>
            </w:r>
            <w:r>
              <w:rPr>
                <w:rFonts w:hint="eastAsia" w:ascii="仿宋" w:hAnsi="仿宋" w:eastAsia="仿宋"/>
                <w:b w:val="0"/>
                <w:bCs/>
                <w:color w:val="auto"/>
                <w:sz w:val="24"/>
                <w:szCs w:val="24"/>
                <w:highlight w:val="none"/>
              </w:rPr>
              <w:t>若无法体现或不满足</w:t>
            </w:r>
            <w:r>
              <w:rPr>
                <w:rFonts w:hint="default" w:ascii="仿宋" w:hAnsi="仿宋" w:eastAsia="仿宋"/>
                <w:b w:val="0"/>
                <w:bCs/>
                <w:color w:val="auto"/>
                <w:sz w:val="24"/>
                <w:szCs w:val="24"/>
                <w:highlight w:val="none"/>
              </w:rPr>
              <w:t>上述业绩指标的，视为无效业绩；</w:t>
            </w:r>
          </w:p>
          <w:p w14:paraId="76A18B6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④工程竣工验收证明资料中必须能体现监理工程师姓名，且必须与本次招标项目的拟派总监理工程师一致，否则不予计分；</w:t>
            </w:r>
          </w:p>
          <w:p w14:paraId="38A21671">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⑤拟派总监理工程师业绩与投标人企业业绩可以重复计分。</w:t>
            </w:r>
          </w:p>
          <w:p w14:paraId="3D469EE6">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在近五年内获得过市级行政主管部门或建设行政主管部门或行业协会颁发的“优秀监理工程师”或“优秀总监理工程师”荣誉称号的得1分，获得过省级及以上行政主管部门或建设行政主管部门或行业协会颁发的“优秀监理工程师”或“优秀总监理工程师”荣誉称号的得3分，本项满分3分；</w:t>
            </w:r>
          </w:p>
          <w:p w14:paraId="54BE4E70">
            <w:pPr>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242DF5E">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证明材料”是指：荣誉证书以行政主管部门或建设行政主管部门或行业协会（行业协会可在中国社会组织政务服务平台网站查询，提供网站查询截图，否则不予计分）颁发的荣誉证书（或红头文件）为准；若荣誉已评选公示结束，但暂未发文发证的，可提供颁奖单位官方网站发布的公示名单截图（截图中必须能明确显示网址、公示期限、申报单位、人员姓名）扫描件至投标文件中，否则不予计分；</w:t>
            </w:r>
          </w:p>
          <w:p w14:paraId="782221C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③荣誉证书中必须能体现监理工程师姓名，且必须与本次招标项目的拟派总监理工程师一致，否则不予计分。</w:t>
            </w:r>
          </w:p>
          <w:p w14:paraId="47B55E50">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拟派总监理工程师监理的</w:t>
            </w:r>
            <w:r>
              <w:rPr>
                <w:rFonts w:hint="eastAsia" w:ascii="仿宋" w:hAnsi="仿宋" w:eastAsia="仿宋"/>
                <w:b/>
                <w:bCs w:val="0"/>
                <w:color w:val="auto"/>
                <w:sz w:val="24"/>
                <w:szCs w:val="24"/>
                <w:highlight w:val="none"/>
                <w:lang w:val="en-US" w:eastAsia="zh-CN"/>
              </w:rPr>
              <w:t>市政公用</w:t>
            </w:r>
            <w:r>
              <w:rPr>
                <w:rFonts w:hint="eastAsia" w:ascii="仿宋" w:hAnsi="仿宋" w:eastAsia="仿宋"/>
                <w:b/>
                <w:bCs w:val="0"/>
                <w:color w:val="auto"/>
                <w:sz w:val="24"/>
                <w:szCs w:val="24"/>
                <w:highlight w:val="none"/>
              </w:rPr>
              <w:t>工程近五年来获得地市级及以上优质工程奖荣誉的得3分；本项满分3分。</w:t>
            </w:r>
          </w:p>
          <w:p w14:paraId="7315D74E">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w:t>
            </w:r>
            <w:r>
              <w:rPr>
                <w:rFonts w:hint="eastAsia" w:ascii="仿宋" w:hAnsi="仿宋" w:eastAsia="仿宋" w:cs="宋体"/>
                <w:b w:val="0"/>
                <w:bCs/>
                <w:color w:val="auto"/>
                <w:sz w:val="24"/>
                <w:szCs w:val="24"/>
                <w:highlight w:val="none"/>
                <w:lang w:val="en-US" w:eastAsia="zh-CN" w:bidi="ar-SA"/>
              </w:rPr>
              <w:t>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A3E5936">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 头文件，或网站发布的公示名单）中注明的落款（签署）日期为准；</w:t>
            </w:r>
          </w:p>
          <w:p w14:paraId="0D2472EA">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 xml:space="preserve"> ②“获奖证明材料”是指：行政主管部门或建设行政主管部门或</w:t>
            </w:r>
            <w:r>
              <w:rPr>
                <w:rFonts w:hint="eastAsia" w:ascii="仿宋" w:hAnsi="仿宋" w:eastAsia="仿宋"/>
                <w:b w:val="0"/>
                <w:bCs/>
                <w:color w:val="auto"/>
                <w:sz w:val="24"/>
                <w:szCs w:val="24"/>
                <w:highlight w:val="none"/>
                <w:lang w:eastAsia="zh-CN"/>
              </w:rPr>
              <w:t>行业协会</w:t>
            </w:r>
            <w:r>
              <w:rPr>
                <w:rFonts w:hint="eastAsia" w:ascii="仿宋" w:hAnsi="仿宋" w:eastAsia="仿宋"/>
                <w:b w:val="0"/>
                <w:bCs/>
                <w:color w:val="auto"/>
                <w:sz w:val="24"/>
                <w:szCs w:val="24"/>
                <w:highlight w:val="none"/>
              </w:rPr>
              <w:t xml:space="preserve">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、公示期限、工程名称、申报单位、主要参建人员）扫描件至投标文件中；否则不予计分。</w:t>
            </w:r>
          </w:p>
          <w:p w14:paraId="3D9A026E">
            <w:pPr>
              <w:keepNext w:val="0"/>
              <w:keepLines w:val="0"/>
              <w:suppressLineNumbers w:val="0"/>
              <w:spacing w:before="0" w:beforeAutospacing="0" w:after="0" w:afterAutospacing="0" w:line="240" w:lineRule="auto"/>
              <w:ind w:left="0" w:right="0"/>
              <w:rPr>
                <w:rFonts w:hint="default"/>
                <w:highlight w:val="none"/>
                <w:lang w:val="en-US" w:eastAsia="zh-CN"/>
              </w:rPr>
            </w:pPr>
            <w:r>
              <w:rPr>
                <w:rFonts w:hint="eastAsia" w:ascii="仿宋" w:hAnsi="仿宋" w:eastAsia="仿宋"/>
                <w:b w:val="0"/>
                <w:bCs/>
                <w:color w:val="auto"/>
                <w:sz w:val="24"/>
                <w:szCs w:val="24"/>
                <w:highlight w:val="none"/>
              </w:rPr>
              <w:t>③提供“获奖证明材料 ”均能体现总监理工程师姓名，且与拟派本项目 总监理工程师姓名一致。</w:t>
            </w:r>
          </w:p>
        </w:tc>
      </w:tr>
      <w:tr w14:paraId="1D01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shd w:val="clear" w:color="auto" w:fill="auto"/>
            <w:vAlign w:val="center"/>
          </w:tcPr>
          <w:p w14:paraId="2F227D84">
            <w:pPr>
              <w:keepNext w:val="0"/>
              <w:keepLines w:val="0"/>
              <w:suppressLineNumbers w:val="0"/>
              <w:spacing w:before="0" w:beforeAutospacing="0" w:after="0" w:afterAutospacing="0" w:line="240" w:lineRule="auto"/>
              <w:ind w:left="0" w:leftChars="0" w:right="0" w:rightChars="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lang w:val="en-US" w:eastAsia="zh-CN"/>
              </w:rPr>
              <w:t>4</w:t>
            </w:r>
          </w:p>
        </w:tc>
        <w:tc>
          <w:tcPr>
            <w:tcW w:w="1370" w:type="dxa"/>
            <w:shd w:val="clear" w:color="auto" w:fill="auto"/>
            <w:vAlign w:val="center"/>
          </w:tcPr>
          <w:p w14:paraId="34D56583">
            <w:pPr>
              <w:keepNext w:val="0"/>
              <w:keepLines w:val="0"/>
              <w:suppressLineNumbers w:val="0"/>
              <w:spacing w:before="0" w:beforeAutospacing="0" w:after="0" w:afterAutospacing="0" w:line="240" w:lineRule="auto"/>
              <w:ind w:left="0" w:right="0"/>
              <w:jc w:val="center"/>
              <w:rPr>
                <w:rFonts w:hint="default"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分）</w:t>
            </w:r>
          </w:p>
        </w:tc>
        <w:tc>
          <w:tcPr>
            <w:tcW w:w="6726" w:type="dxa"/>
            <w:shd w:val="clear" w:color="auto" w:fill="auto"/>
            <w:vAlign w:val="top"/>
          </w:tcPr>
          <w:p w14:paraId="6A2793C7">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w:t>
            </w:r>
            <w:r>
              <w:rPr>
                <w:rFonts w:hint="eastAsia" w:ascii="仿宋" w:hAnsi="仿宋" w:eastAsia="仿宋"/>
                <w:b/>
                <w:bCs/>
                <w:color w:val="auto"/>
                <w:sz w:val="24"/>
                <w:szCs w:val="24"/>
                <w:highlight w:val="none"/>
                <w:lang w:val="en-US" w:eastAsia="zh-CN"/>
              </w:rPr>
              <w:t>及</w:t>
            </w:r>
            <w:r>
              <w:rPr>
                <w:rFonts w:hint="eastAsia" w:ascii="仿宋" w:hAnsi="仿宋" w:eastAsia="仿宋"/>
                <w:b/>
                <w:bCs/>
                <w:color w:val="auto"/>
                <w:sz w:val="24"/>
                <w:szCs w:val="24"/>
                <w:highlight w:val="none"/>
              </w:rPr>
              <w:t>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rPr>
              <w:t>1</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rPr>
              <w:t>2分。</w:t>
            </w:r>
          </w:p>
          <w:p w14:paraId="540F4509">
            <w:pPr>
              <w:keepNext w:val="0"/>
              <w:keepLines w:val="0"/>
              <w:suppressLineNumbers w:val="0"/>
              <w:spacing w:before="0" w:beforeAutospacing="0" w:after="0" w:afterAutospacing="0" w:line="240" w:lineRule="auto"/>
              <w:ind w:left="0" w:leftChars="0" w:right="0" w:rightChars="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6951EEC">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370" w:type="dxa"/>
            <w:vAlign w:val="center"/>
          </w:tcPr>
          <w:p w14:paraId="622803B8">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分）</w:t>
            </w:r>
          </w:p>
        </w:tc>
        <w:tc>
          <w:tcPr>
            <w:tcW w:w="6726" w:type="dxa"/>
          </w:tcPr>
          <w:p w14:paraId="2E440B8D">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分，最多得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288370E2">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每提供1人具有注册一级造价工程师证书的得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50286AF8">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入电子投标文件中，否则不予计分；增加的监理人员需提供身份证复印件或扫描件放入电子投标文件中。</w:t>
            </w:r>
          </w:p>
          <w:p w14:paraId="25851B75">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w:t>
            </w:r>
          </w:p>
          <w:p w14:paraId="27A22142">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w:t>
            </w:r>
            <w:r>
              <w:rPr>
                <w:rFonts w:hint="eastAsia" w:ascii="仿宋" w:hAnsi="仿宋" w:eastAsia="仿宋" w:cs="仿宋"/>
                <w:color w:val="auto"/>
                <w:sz w:val="24"/>
                <w:szCs w:val="24"/>
                <w:highlight w:val="none"/>
                <w:lang w:val="en-US" w:eastAsia="zh-CN"/>
              </w:rPr>
              <w:t>可以</w:t>
            </w:r>
            <w:r>
              <w:rPr>
                <w:rFonts w:hint="eastAsia" w:ascii="仿宋" w:hAnsi="仿宋" w:eastAsia="仿宋" w:cs="仿宋"/>
                <w:color w:val="auto"/>
                <w:sz w:val="24"/>
                <w:szCs w:val="24"/>
                <w:highlight w:val="none"/>
              </w:rPr>
              <w:t>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37D749CA">
      <w:pPr>
        <w:pStyle w:val="7"/>
        <w:spacing w:line="360" w:lineRule="auto"/>
        <w:rPr>
          <w:rFonts w:hint="eastAsia" w:ascii="仿宋" w:hAnsi="仿宋" w:eastAsia="仿宋"/>
          <w:b w:val="0"/>
          <w:color w:val="auto"/>
          <w:sz w:val="24"/>
          <w:szCs w:val="22"/>
          <w:highlight w:val="none"/>
        </w:rPr>
      </w:pPr>
      <w:bookmarkStart w:id="28" w:name="_Toc174523185"/>
      <w:bookmarkStart w:id="29" w:name="_Toc174523096"/>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8"/>
      <w:bookmarkEnd w:id="29"/>
    </w:p>
    <w:p w14:paraId="19BCF515">
      <w:pPr>
        <w:pStyle w:val="56"/>
        <w:spacing w:line="360" w:lineRule="auto"/>
        <w:ind w:left="0" w:leftChars="0" w:firstLine="0" w:firstLineChars="0"/>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附表：各省市自治区优质工程奖名称</w:t>
      </w:r>
    </w:p>
    <w:tbl>
      <w:tblPr>
        <w:tblStyle w:val="58"/>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66"/>
        <w:gridCol w:w="1066"/>
        <w:gridCol w:w="1145"/>
        <w:gridCol w:w="755"/>
        <w:gridCol w:w="1084"/>
        <w:gridCol w:w="1019"/>
        <w:gridCol w:w="1749"/>
      </w:tblGrid>
      <w:tr w14:paraId="314A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65" w:type="dxa"/>
            <w:vAlign w:val="center"/>
          </w:tcPr>
          <w:p w14:paraId="54633AA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地区</w:t>
            </w:r>
          </w:p>
        </w:tc>
        <w:tc>
          <w:tcPr>
            <w:tcW w:w="1166" w:type="dxa"/>
            <w:vAlign w:val="center"/>
          </w:tcPr>
          <w:p w14:paraId="525FC2E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名称</w:t>
            </w:r>
          </w:p>
        </w:tc>
        <w:tc>
          <w:tcPr>
            <w:tcW w:w="1066" w:type="dxa"/>
            <w:vAlign w:val="center"/>
          </w:tcPr>
          <w:p w14:paraId="15187D3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145" w:type="dxa"/>
            <w:vAlign w:val="center"/>
          </w:tcPr>
          <w:p w14:paraId="1CF0C1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755" w:type="dxa"/>
            <w:vAlign w:val="center"/>
          </w:tcPr>
          <w:p w14:paraId="503243F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084" w:type="dxa"/>
            <w:vAlign w:val="center"/>
          </w:tcPr>
          <w:p w14:paraId="083BA5C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1019" w:type="dxa"/>
            <w:vAlign w:val="center"/>
          </w:tcPr>
          <w:p w14:paraId="4B53FB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749" w:type="dxa"/>
            <w:vAlign w:val="center"/>
          </w:tcPr>
          <w:p w14:paraId="4EA35D2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r>
      <w:tr w14:paraId="45CF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131C560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北京</w:t>
            </w:r>
          </w:p>
        </w:tc>
        <w:tc>
          <w:tcPr>
            <w:tcW w:w="1166" w:type="dxa"/>
            <w:vAlign w:val="center"/>
          </w:tcPr>
          <w:p w14:paraId="76E02D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长城杯</w:t>
            </w:r>
          </w:p>
        </w:tc>
        <w:tc>
          <w:tcPr>
            <w:tcW w:w="1066" w:type="dxa"/>
            <w:vAlign w:val="center"/>
          </w:tcPr>
          <w:p w14:paraId="34A68F9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天津</w:t>
            </w:r>
          </w:p>
        </w:tc>
        <w:tc>
          <w:tcPr>
            <w:tcW w:w="1145" w:type="dxa"/>
            <w:vAlign w:val="center"/>
          </w:tcPr>
          <w:p w14:paraId="496EF8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海河杯</w:t>
            </w:r>
          </w:p>
        </w:tc>
        <w:tc>
          <w:tcPr>
            <w:tcW w:w="755" w:type="dxa"/>
            <w:vAlign w:val="center"/>
          </w:tcPr>
          <w:p w14:paraId="49EBF89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河北</w:t>
            </w:r>
          </w:p>
        </w:tc>
        <w:tc>
          <w:tcPr>
            <w:tcW w:w="1084" w:type="dxa"/>
            <w:vAlign w:val="center"/>
          </w:tcPr>
          <w:p w14:paraId="1715613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安济杯</w:t>
            </w:r>
          </w:p>
        </w:tc>
        <w:tc>
          <w:tcPr>
            <w:tcW w:w="1019" w:type="dxa"/>
            <w:vAlign w:val="center"/>
          </w:tcPr>
          <w:p w14:paraId="7D39D1B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宁夏</w:t>
            </w:r>
          </w:p>
        </w:tc>
        <w:tc>
          <w:tcPr>
            <w:tcW w:w="1749" w:type="dxa"/>
            <w:vAlign w:val="center"/>
          </w:tcPr>
          <w:p w14:paraId="5C38103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西夏杯</w:t>
            </w:r>
          </w:p>
        </w:tc>
      </w:tr>
      <w:tr w14:paraId="41F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B963D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山西</w:t>
            </w:r>
          </w:p>
        </w:tc>
        <w:tc>
          <w:tcPr>
            <w:tcW w:w="1166" w:type="dxa"/>
            <w:vAlign w:val="center"/>
          </w:tcPr>
          <w:p w14:paraId="567DF5B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汾水杯</w:t>
            </w:r>
          </w:p>
        </w:tc>
        <w:tc>
          <w:tcPr>
            <w:tcW w:w="1066" w:type="dxa"/>
            <w:vAlign w:val="center"/>
          </w:tcPr>
          <w:p w14:paraId="5ECC3D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内蒙古</w:t>
            </w:r>
          </w:p>
        </w:tc>
        <w:tc>
          <w:tcPr>
            <w:tcW w:w="1145" w:type="dxa"/>
            <w:vAlign w:val="center"/>
          </w:tcPr>
          <w:p w14:paraId="154C0FC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草原杯</w:t>
            </w:r>
          </w:p>
        </w:tc>
        <w:tc>
          <w:tcPr>
            <w:tcW w:w="755" w:type="dxa"/>
            <w:vAlign w:val="center"/>
          </w:tcPr>
          <w:p w14:paraId="423AB6A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辽宁</w:t>
            </w:r>
          </w:p>
        </w:tc>
        <w:tc>
          <w:tcPr>
            <w:tcW w:w="1084" w:type="dxa"/>
            <w:vAlign w:val="center"/>
          </w:tcPr>
          <w:p w14:paraId="70F9577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世纪杯</w:t>
            </w:r>
          </w:p>
        </w:tc>
        <w:tc>
          <w:tcPr>
            <w:tcW w:w="1019" w:type="dxa"/>
            <w:vAlign w:val="center"/>
          </w:tcPr>
          <w:p w14:paraId="6CCF132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广东</w:t>
            </w:r>
          </w:p>
        </w:tc>
        <w:tc>
          <w:tcPr>
            <w:tcW w:w="1749" w:type="dxa"/>
            <w:vAlign w:val="center"/>
          </w:tcPr>
          <w:p w14:paraId="597DCF9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广东省建设工程优质奖</w:t>
            </w:r>
          </w:p>
        </w:tc>
      </w:tr>
      <w:tr w14:paraId="509A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955497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吉林</w:t>
            </w:r>
          </w:p>
        </w:tc>
        <w:tc>
          <w:tcPr>
            <w:tcW w:w="1166" w:type="dxa"/>
            <w:vAlign w:val="center"/>
          </w:tcPr>
          <w:p w14:paraId="7100B7C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长白山杯</w:t>
            </w:r>
          </w:p>
        </w:tc>
        <w:tc>
          <w:tcPr>
            <w:tcW w:w="1066" w:type="dxa"/>
            <w:vAlign w:val="center"/>
          </w:tcPr>
          <w:p w14:paraId="4503262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黑龙江</w:t>
            </w:r>
          </w:p>
        </w:tc>
        <w:tc>
          <w:tcPr>
            <w:tcW w:w="1145" w:type="dxa"/>
            <w:vAlign w:val="center"/>
          </w:tcPr>
          <w:p w14:paraId="3B7E355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龙江杯</w:t>
            </w:r>
          </w:p>
        </w:tc>
        <w:tc>
          <w:tcPr>
            <w:tcW w:w="755" w:type="dxa"/>
            <w:vAlign w:val="center"/>
          </w:tcPr>
          <w:p w14:paraId="35335ED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上海</w:t>
            </w:r>
          </w:p>
        </w:tc>
        <w:tc>
          <w:tcPr>
            <w:tcW w:w="1084" w:type="dxa"/>
            <w:vAlign w:val="center"/>
          </w:tcPr>
          <w:p w14:paraId="364B18C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白玉兰杯</w:t>
            </w:r>
          </w:p>
        </w:tc>
        <w:tc>
          <w:tcPr>
            <w:tcW w:w="1019" w:type="dxa"/>
            <w:vAlign w:val="center"/>
          </w:tcPr>
          <w:p w14:paraId="0F8F70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云南</w:t>
            </w:r>
          </w:p>
        </w:tc>
        <w:tc>
          <w:tcPr>
            <w:tcW w:w="1749" w:type="dxa"/>
            <w:vAlign w:val="center"/>
          </w:tcPr>
          <w:p w14:paraId="60A239E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云南省优质工程奖</w:t>
            </w:r>
          </w:p>
        </w:tc>
      </w:tr>
      <w:tr w14:paraId="67A9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Align w:val="center"/>
          </w:tcPr>
          <w:p w14:paraId="70B41B1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江苏</w:t>
            </w:r>
          </w:p>
        </w:tc>
        <w:tc>
          <w:tcPr>
            <w:tcW w:w="1166" w:type="dxa"/>
            <w:vAlign w:val="center"/>
          </w:tcPr>
          <w:p w14:paraId="7EA9F69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扬子杯</w:t>
            </w:r>
          </w:p>
        </w:tc>
        <w:tc>
          <w:tcPr>
            <w:tcW w:w="1066" w:type="dxa"/>
            <w:vAlign w:val="center"/>
          </w:tcPr>
          <w:p w14:paraId="0311494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浙江</w:t>
            </w:r>
          </w:p>
        </w:tc>
        <w:tc>
          <w:tcPr>
            <w:tcW w:w="1145" w:type="dxa"/>
            <w:vAlign w:val="center"/>
          </w:tcPr>
          <w:p w14:paraId="6BB733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钱江杯</w:t>
            </w:r>
          </w:p>
        </w:tc>
        <w:tc>
          <w:tcPr>
            <w:tcW w:w="755" w:type="dxa"/>
            <w:vAlign w:val="center"/>
          </w:tcPr>
          <w:p w14:paraId="5B41863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安徽</w:t>
            </w:r>
          </w:p>
        </w:tc>
        <w:tc>
          <w:tcPr>
            <w:tcW w:w="1084" w:type="dxa"/>
            <w:vAlign w:val="center"/>
          </w:tcPr>
          <w:p w14:paraId="40760E7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黄山杯</w:t>
            </w:r>
          </w:p>
        </w:tc>
        <w:tc>
          <w:tcPr>
            <w:tcW w:w="1019" w:type="dxa"/>
            <w:vAlign w:val="center"/>
          </w:tcPr>
          <w:p w14:paraId="441F653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广西</w:t>
            </w:r>
          </w:p>
        </w:tc>
        <w:tc>
          <w:tcPr>
            <w:tcW w:w="1749" w:type="dxa"/>
            <w:vAlign w:val="center"/>
          </w:tcPr>
          <w:p w14:paraId="3FC465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广西壮族自治区优质工程奖或真武阁杯</w:t>
            </w:r>
          </w:p>
        </w:tc>
      </w:tr>
      <w:tr w14:paraId="314C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75E074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福建</w:t>
            </w:r>
          </w:p>
        </w:tc>
        <w:tc>
          <w:tcPr>
            <w:tcW w:w="1166" w:type="dxa"/>
            <w:vAlign w:val="center"/>
          </w:tcPr>
          <w:p w14:paraId="1047AA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闽江杯</w:t>
            </w:r>
          </w:p>
        </w:tc>
        <w:tc>
          <w:tcPr>
            <w:tcW w:w="1066" w:type="dxa"/>
            <w:vAlign w:val="center"/>
          </w:tcPr>
          <w:p w14:paraId="500B560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江西</w:t>
            </w:r>
          </w:p>
        </w:tc>
        <w:tc>
          <w:tcPr>
            <w:tcW w:w="1145" w:type="dxa"/>
            <w:vAlign w:val="center"/>
          </w:tcPr>
          <w:p w14:paraId="7C07187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杜鹃花杯</w:t>
            </w:r>
          </w:p>
        </w:tc>
        <w:tc>
          <w:tcPr>
            <w:tcW w:w="755" w:type="dxa"/>
            <w:vAlign w:val="center"/>
          </w:tcPr>
          <w:p w14:paraId="63BAECD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山东</w:t>
            </w:r>
          </w:p>
        </w:tc>
        <w:tc>
          <w:tcPr>
            <w:tcW w:w="1084" w:type="dxa"/>
            <w:vAlign w:val="center"/>
          </w:tcPr>
          <w:p w14:paraId="514306B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泰山杯</w:t>
            </w:r>
          </w:p>
        </w:tc>
        <w:tc>
          <w:tcPr>
            <w:tcW w:w="1019" w:type="dxa"/>
            <w:vAlign w:val="center"/>
          </w:tcPr>
          <w:p w14:paraId="19AADF3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C3FC1A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319D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798B81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河南</w:t>
            </w:r>
          </w:p>
        </w:tc>
        <w:tc>
          <w:tcPr>
            <w:tcW w:w="1166" w:type="dxa"/>
            <w:vAlign w:val="center"/>
          </w:tcPr>
          <w:p w14:paraId="21FCC1A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中州杯</w:t>
            </w:r>
          </w:p>
        </w:tc>
        <w:tc>
          <w:tcPr>
            <w:tcW w:w="1066" w:type="dxa"/>
            <w:vAlign w:val="center"/>
          </w:tcPr>
          <w:p w14:paraId="28FF597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湖北</w:t>
            </w:r>
          </w:p>
        </w:tc>
        <w:tc>
          <w:tcPr>
            <w:tcW w:w="1145" w:type="dxa"/>
            <w:vAlign w:val="center"/>
          </w:tcPr>
          <w:p w14:paraId="587EA78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楚天杯</w:t>
            </w:r>
          </w:p>
        </w:tc>
        <w:tc>
          <w:tcPr>
            <w:tcW w:w="755" w:type="dxa"/>
            <w:vAlign w:val="center"/>
          </w:tcPr>
          <w:p w14:paraId="5E4D4A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湖南</w:t>
            </w:r>
          </w:p>
        </w:tc>
        <w:tc>
          <w:tcPr>
            <w:tcW w:w="1084" w:type="dxa"/>
            <w:vAlign w:val="center"/>
          </w:tcPr>
          <w:p w14:paraId="29DD45F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芙蓉杯</w:t>
            </w:r>
          </w:p>
        </w:tc>
        <w:tc>
          <w:tcPr>
            <w:tcW w:w="1019" w:type="dxa"/>
            <w:vAlign w:val="center"/>
          </w:tcPr>
          <w:p w14:paraId="2440E8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6E80F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139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32A96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海南</w:t>
            </w:r>
          </w:p>
        </w:tc>
        <w:tc>
          <w:tcPr>
            <w:tcW w:w="1166" w:type="dxa"/>
            <w:vAlign w:val="center"/>
          </w:tcPr>
          <w:p w14:paraId="4FE7791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绿岛杯</w:t>
            </w:r>
          </w:p>
        </w:tc>
        <w:tc>
          <w:tcPr>
            <w:tcW w:w="1066" w:type="dxa"/>
            <w:vAlign w:val="center"/>
          </w:tcPr>
          <w:p w14:paraId="4BFA23F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重庆</w:t>
            </w:r>
          </w:p>
        </w:tc>
        <w:tc>
          <w:tcPr>
            <w:tcW w:w="1145" w:type="dxa"/>
            <w:vAlign w:val="center"/>
          </w:tcPr>
          <w:p w14:paraId="6CE2BD6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巴渝杯</w:t>
            </w:r>
          </w:p>
        </w:tc>
        <w:tc>
          <w:tcPr>
            <w:tcW w:w="755" w:type="dxa"/>
            <w:vAlign w:val="center"/>
          </w:tcPr>
          <w:p w14:paraId="7FC9FB3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四川</w:t>
            </w:r>
          </w:p>
        </w:tc>
        <w:tc>
          <w:tcPr>
            <w:tcW w:w="1084" w:type="dxa"/>
            <w:vAlign w:val="center"/>
          </w:tcPr>
          <w:p w14:paraId="2B6372B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天府杯</w:t>
            </w:r>
          </w:p>
        </w:tc>
        <w:tc>
          <w:tcPr>
            <w:tcW w:w="1019" w:type="dxa"/>
            <w:vAlign w:val="center"/>
          </w:tcPr>
          <w:p w14:paraId="4269C56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491663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022D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2CF886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新疆</w:t>
            </w:r>
          </w:p>
        </w:tc>
        <w:tc>
          <w:tcPr>
            <w:tcW w:w="1166" w:type="dxa"/>
            <w:vAlign w:val="center"/>
          </w:tcPr>
          <w:p w14:paraId="35F2711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天山杯</w:t>
            </w:r>
          </w:p>
        </w:tc>
        <w:tc>
          <w:tcPr>
            <w:tcW w:w="1066" w:type="dxa"/>
            <w:vAlign w:val="center"/>
          </w:tcPr>
          <w:p w14:paraId="11175BA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西藏</w:t>
            </w:r>
          </w:p>
        </w:tc>
        <w:tc>
          <w:tcPr>
            <w:tcW w:w="1145" w:type="dxa"/>
            <w:vAlign w:val="center"/>
          </w:tcPr>
          <w:p w14:paraId="4FD79C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雪莲杯</w:t>
            </w:r>
          </w:p>
        </w:tc>
        <w:tc>
          <w:tcPr>
            <w:tcW w:w="755" w:type="dxa"/>
            <w:vAlign w:val="center"/>
          </w:tcPr>
          <w:p w14:paraId="7DE643F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贵州</w:t>
            </w:r>
          </w:p>
        </w:tc>
        <w:tc>
          <w:tcPr>
            <w:tcW w:w="1084" w:type="dxa"/>
            <w:vAlign w:val="center"/>
          </w:tcPr>
          <w:p w14:paraId="3B215D9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黄果树杯</w:t>
            </w:r>
          </w:p>
        </w:tc>
        <w:tc>
          <w:tcPr>
            <w:tcW w:w="1019" w:type="dxa"/>
            <w:vAlign w:val="center"/>
          </w:tcPr>
          <w:p w14:paraId="6E0E4D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4791278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4291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F7192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甘肃</w:t>
            </w:r>
          </w:p>
        </w:tc>
        <w:tc>
          <w:tcPr>
            <w:tcW w:w="1166" w:type="dxa"/>
            <w:vAlign w:val="center"/>
          </w:tcPr>
          <w:p w14:paraId="0EAFCD5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飞天杯</w:t>
            </w:r>
          </w:p>
        </w:tc>
        <w:tc>
          <w:tcPr>
            <w:tcW w:w="1066" w:type="dxa"/>
            <w:vAlign w:val="center"/>
          </w:tcPr>
          <w:p w14:paraId="26CFDF3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青海</w:t>
            </w:r>
          </w:p>
        </w:tc>
        <w:tc>
          <w:tcPr>
            <w:tcW w:w="1145" w:type="dxa"/>
            <w:vAlign w:val="center"/>
          </w:tcPr>
          <w:p w14:paraId="3D0F6FF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江河源杯</w:t>
            </w:r>
          </w:p>
        </w:tc>
        <w:tc>
          <w:tcPr>
            <w:tcW w:w="755" w:type="dxa"/>
            <w:vAlign w:val="center"/>
          </w:tcPr>
          <w:p w14:paraId="6BED1EA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陕西</w:t>
            </w:r>
          </w:p>
        </w:tc>
        <w:tc>
          <w:tcPr>
            <w:tcW w:w="1084" w:type="dxa"/>
            <w:vAlign w:val="center"/>
          </w:tcPr>
          <w:p w14:paraId="18E37DA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长安杯</w:t>
            </w:r>
          </w:p>
        </w:tc>
        <w:tc>
          <w:tcPr>
            <w:tcW w:w="1019" w:type="dxa"/>
            <w:vAlign w:val="center"/>
          </w:tcPr>
          <w:p w14:paraId="695427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4E85B1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bl>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60</w:t>
      </w:r>
      <w:r>
        <w:rPr>
          <w:rFonts w:hint="eastAsia" w:ascii="仿宋" w:hAnsi="仿宋" w:eastAsia="仿宋"/>
          <w:b/>
          <w:bCs/>
          <w:color w:val="auto"/>
          <w:sz w:val="24"/>
          <w:szCs w:val="24"/>
          <w:highlight w:val="none"/>
        </w:rPr>
        <w:t>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467E165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376F3C0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0</w:t>
            </w:r>
            <w:r>
              <w:rPr>
                <w:rFonts w:hint="eastAsia" w:ascii="仿宋" w:hAnsi="仿宋" w:eastAsia="仿宋"/>
                <w:b/>
                <w:color w:val="auto"/>
                <w:sz w:val="24"/>
                <w:szCs w:val="24"/>
                <w:highlight w:val="none"/>
              </w:rPr>
              <w:t>分）</w:t>
            </w:r>
          </w:p>
        </w:tc>
        <w:tc>
          <w:tcPr>
            <w:tcW w:w="7347" w:type="dxa"/>
            <w:vAlign w:val="center"/>
          </w:tcPr>
          <w:p w14:paraId="1DC138B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4.3.1 以下所有涉及报价计算的结果均按四舍五入原则保留两位小数： </w:t>
            </w:r>
          </w:p>
          <w:p w14:paraId="3670F52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14:paraId="04771A2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（2）低于最高投标限价的 80%（不含本数）或高于最高投标限价的 90%（不含本数）的投标报价，均不参与以下平均值的计算。 </w:t>
            </w:r>
          </w:p>
          <w:p w14:paraId="5981137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当最高投标限价的 80%与最高投标限价的 90%之间无投标报价时（含本数），属于报价异常，本项目招标失败。 </w:t>
            </w:r>
          </w:p>
          <w:p w14:paraId="064B47F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14:paraId="0F73A3F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14:paraId="1752B769">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14:paraId="777099F4">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14:paraId="73FBBC6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B：对第一次算术平均 b 值（含）和最高投标限价的 80%（含）之间的投标报价进行第二次平均，第二次平均值即为评标基准值 B。（若第一次算术平均 b 值（含）和最高投标限价的 80%（含）之间没有投标报价，则以最高投标限价的 80%为评标基准值 B。）</w:t>
            </w:r>
            <w:r>
              <w:rPr>
                <w:rFonts w:hint="eastAsia" w:ascii="仿宋" w:hAnsi="仿宋" w:eastAsia="仿宋" w:cs="仿宋_GB2312"/>
                <w:b/>
                <w:bCs/>
                <w:color w:val="auto"/>
                <w:sz w:val="24"/>
                <w:szCs w:val="24"/>
                <w:highlight w:val="none"/>
                <w:lang w:eastAsia="zh-CN"/>
              </w:rPr>
              <w:t>；</w:t>
            </w:r>
          </w:p>
          <w:p w14:paraId="2AEFA34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0</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60</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14:paraId="44DBFE9C">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56"/>
        <w:spacing w:after="0" w:line="360" w:lineRule="auto"/>
        <w:ind w:left="0" w:leftChars="0" w:firstLine="422"/>
        <w:rPr>
          <w:rFonts w:hint="eastAsia" w:ascii="仿宋" w:hAnsi="仿宋" w:eastAsia="仿宋"/>
          <w:b/>
          <w:bCs/>
          <w:color w:val="auto"/>
          <w:sz w:val="24"/>
          <w:szCs w:val="24"/>
          <w:highlight w:val="none"/>
        </w:rPr>
      </w:pPr>
      <w:bookmarkStart w:id="30"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56"/>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30"/>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1"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1"/>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554CC207">
      <w:pPr>
        <w:pStyle w:val="56"/>
        <w:spacing w:after="0" w:line="360" w:lineRule="auto"/>
        <w:ind w:left="0" w:leftChars="0" w:firstLine="648" w:firstLineChars="270"/>
        <w:rPr>
          <w:rFonts w:hint="eastAsia" w:ascii="仿宋" w:hAnsi="仿宋" w:eastAsia="仿宋"/>
          <w:color w:val="auto"/>
          <w:sz w:val="32"/>
          <w:szCs w:val="28"/>
          <w:highlight w:val="none"/>
        </w:rPr>
      </w:pP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r>
        <w:rPr>
          <w:rFonts w:ascii="仿宋" w:hAnsi="仿宋" w:eastAsia="仿宋"/>
          <w:color w:val="auto"/>
          <w:sz w:val="32"/>
          <w:szCs w:val="28"/>
          <w:highlight w:val="none"/>
        </w:rPr>
        <w:br w:type="page"/>
      </w:r>
    </w:p>
    <w:p w14:paraId="79B55264">
      <w:pPr>
        <w:pStyle w:val="2"/>
        <w:spacing w:line="360" w:lineRule="auto"/>
        <w:rPr>
          <w:rFonts w:hint="eastAsia" w:ascii="仿宋" w:hAnsi="仿宋" w:eastAsia="仿宋"/>
          <w:color w:val="auto"/>
          <w:sz w:val="32"/>
          <w:szCs w:val="40"/>
          <w:highlight w:val="none"/>
        </w:rPr>
      </w:pPr>
      <w:bookmarkStart w:id="32" w:name="_Toc129765779"/>
      <w:bookmarkStart w:id="33" w:name="_Toc174523097"/>
      <w:bookmarkStart w:id="34" w:name="_Toc174523186"/>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2"/>
      <w:bookmarkEnd w:id="33"/>
      <w:bookmarkEnd w:id="34"/>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3"/>
        <w:spacing w:line="360" w:lineRule="auto"/>
        <w:rPr>
          <w:rFonts w:hint="eastAsia" w:ascii="仿宋" w:hAnsi="仿宋" w:eastAsia="仿宋"/>
          <w:color w:val="auto"/>
          <w:sz w:val="32"/>
          <w:szCs w:val="32"/>
          <w:highlight w:val="none"/>
        </w:rPr>
      </w:pPr>
      <w:bookmarkStart w:id="35" w:name="_Toc174523098"/>
      <w:bookmarkStart w:id="36" w:name="_Toc174523187"/>
      <w:bookmarkStart w:id="37" w:name="_Toc129765780"/>
      <w:r>
        <w:rPr>
          <w:rFonts w:hint="eastAsia" w:ascii="仿宋" w:hAnsi="仿宋" w:eastAsia="仿宋"/>
          <w:color w:val="auto"/>
          <w:sz w:val="32"/>
          <w:szCs w:val="32"/>
          <w:highlight w:val="none"/>
        </w:rPr>
        <w:t>第一部分  协议书</w:t>
      </w:r>
      <w:bookmarkEnd w:id="35"/>
      <w:bookmarkEnd w:id="36"/>
      <w:bookmarkEnd w:id="37"/>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kern w:val="2"/>
          <w:sz w:val="24"/>
          <w:szCs w:val="24"/>
          <w:highlight w:val="none"/>
          <w:u w:val="single"/>
          <w:lang w:val="en-US" w:eastAsia="zh-CN" w:bidi="ar"/>
        </w:rPr>
        <w:t>铜陵金诚资产运营有限公司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8" w:name="_Toc174523188"/>
      <w:bookmarkStart w:id="39" w:name="_Toc174523099"/>
      <w:r>
        <w:rPr>
          <w:rFonts w:hint="eastAsia" w:ascii="仿宋" w:hAnsi="仿宋" w:eastAsia="仿宋"/>
          <w:b/>
          <w:color w:val="auto"/>
          <w:sz w:val="24"/>
          <w:szCs w:val="24"/>
          <w:highlight w:val="none"/>
        </w:rPr>
        <w:t>一、工程概况</w:t>
      </w:r>
      <w:bookmarkEnd w:id="38"/>
      <w:bookmarkEnd w:id="39"/>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铜陵市郊区生活污水管网新建改造工程（一期）监理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 xml:space="preserve">郊区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总投资约1600万元。</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lang w:eastAsia="zh-CN"/>
        </w:rPr>
        <w:t>项目</w:t>
      </w:r>
      <w:r>
        <w:rPr>
          <w:rFonts w:hint="eastAsia" w:ascii="仿宋" w:hAnsi="仿宋" w:eastAsia="仿宋"/>
          <w:color w:val="auto"/>
          <w:sz w:val="24"/>
          <w:szCs w:val="24"/>
          <w:highlight w:val="none"/>
          <w:u w:val="single"/>
        </w:rPr>
        <w:t>总投资</w:t>
      </w:r>
      <w:r>
        <w:rPr>
          <w:rFonts w:hint="eastAsia" w:ascii="仿宋" w:hAnsi="仿宋" w:eastAsia="仿宋"/>
          <w:color w:val="auto"/>
          <w:sz w:val="24"/>
          <w:szCs w:val="24"/>
          <w:highlight w:val="none"/>
          <w:u w:val="single"/>
          <w:lang w:val="en-US" w:eastAsia="zh-CN"/>
        </w:rPr>
        <w:t>约1600万元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5.工程施工质量目标：</w:t>
      </w:r>
      <w:r>
        <w:rPr>
          <w:rFonts w:hint="eastAsia" w:ascii="仿宋" w:hAnsi="仿宋" w:eastAsia="仿宋"/>
          <w:color w:val="auto"/>
          <w:sz w:val="24"/>
          <w:szCs w:val="24"/>
          <w:highlight w:val="none"/>
          <w:u w:val="single"/>
          <w:lang w:val="en-US" w:eastAsia="zh-CN"/>
        </w:rPr>
        <w:t>合格</w:t>
      </w:r>
    </w:p>
    <w:p w14:paraId="5585D235">
      <w:pPr>
        <w:pStyle w:val="7"/>
        <w:spacing w:line="360" w:lineRule="auto"/>
        <w:ind w:firstLine="482"/>
        <w:rPr>
          <w:rFonts w:hint="eastAsia" w:ascii="仿宋" w:hAnsi="仿宋" w:eastAsia="仿宋"/>
          <w:b w:val="0"/>
          <w:color w:val="auto"/>
          <w:sz w:val="24"/>
          <w:szCs w:val="24"/>
          <w:highlight w:val="none"/>
        </w:rPr>
      </w:pPr>
      <w:bookmarkStart w:id="40" w:name="_Toc174523100"/>
      <w:bookmarkStart w:id="41" w:name="_Toc174523189"/>
      <w:r>
        <w:rPr>
          <w:rFonts w:hint="eastAsia" w:ascii="仿宋" w:hAnsi="仿宋" w:eastAsia="仿宋"/>
          <w:color w:val="auto"/>
          <w:sz w:val="24"/>
          <w:szCs w:val="24"/>
          <w:highlight w:val="none"/>
        </w:rPr>
        <w:t>二、词语限定</w:t>
      </w:r>
      <w:bookmarkEnd w:id="40"/>
      <w:bookmarkEnd w:id="41"/>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2" w:name="_Toc174523190"/>
      <w:bookmarkStart w:id="43" w:name="_Toc174523101"/>
      <w:r>
        <w:rPr>
          <w:rFonts w:hint="eastAsia" w:ascii="仿宋" w:hAnsi="仿宋" w:eastAsia="仿宋"/>
          <w:b/>
          <w:color w:val="auto"/>
          <w:sz w:val="24"/>
          <w:szCs w:val="24"/>
          <w:highlight w:val="none"/>
        </w:rPr>
        <w:t>三、组成本合同的文件</w:t>
      </w:r>
      <w:bookmarkEnd w:id="42"/>
      <w:bookmarkEnd w:id="43"/>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4" w:name="_Toc174523191"/>
      <w:bookmarkStart w:id="45" w:name="_Toc174523102"/>
      <w:r>
        <w:rPr>
          <w:rFonts w:hint="eastAsia" w:ascii="仿宋" w:hAnsi="仿宋" w:eastAsia="仿宋"/>
          <w:b/>
          <w:color w:val="auto"/>
          <w:sz w:val="24"/>
          <w:szCs w:val="24"/>
          <w:highlight w:val="none"/>
        </w:rPr>
        <w:t>四、总监理工程师</w:t>
      </w:r>
      <w:bookmarkEnd w:id="44"/>
      <w:bookmarkEnd w:id="45"/>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6" w:name="_Toc174523103"/>
      <w:bookmarkStart w:id="47" w:name="_Toc174523192"/>
      <w:r>
        <w:rPr>
          <w:rFonts w:hint="eastAsia" w:ascii="仿宋" w:hAnsi="仿宋" w:eastAsia="仿宋"/>
          <w:b/>
          <w:color w:val="auto"/>
          <w:sz w:val="24"/>
          <w:szCs w:val="24"/>
          <w:highlight w:val="none"/>
        </w:rPr>
        <w:t>五、签约合同价与合同价格形式</w:t>
      </w:r>
      <w:bookmarkEnd w:id="46"/>
      <w:bookmarkEnd w:id="47"/>
    </w:p>
    <w:p w14:paraId="41EE06E2">
      <w:pPr>
        <w:spacing w:line="360" w:lineRule="auto"/>
        <w:ind w:firstLine="664" w:firstLineChars="277"/>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本项目中标监理服务费不作为支付监理服务费及结算依据，实际监理服务费按费率计算，即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1600万元</w:t>
      </w:r>
      <w:r>
        <w:rPr>
          <w:rFonts w:hint="eastAsia" w:ascii="仿宋" w:hAnsi="仿宋" w:eastAsia="仿宋"/>
          <w:b/>
          <w:bCs/>
          <w:color w:val="auto"/>
          <w:sz w:val="24"/>
          <w:szCs w:val="24"/>
          <w:highlight w:val="none"/>
          <w:lang w:eastAsia="zh-CN"/>
        </w:rPr>
        <w:t>（项目总投资）</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8" w:name="_Toc174523193"/>
      <w:bookmarkStart w:id="49" w:name="_Toc174523104"/>
      <w:r>
        <w:rPr>
          <w:rFonts w:hint="eastAsia" w:ascii="仿宋" w:hAnsi="仿宋" w:eastAsia="仿宋"/>
          <w:b/>
          <w:color w:val="auto"/>
          <w:sz w:val="24"/>
          <w:szCs w:val="24"/>
          <w:highlight w:val="none"/>
        </w:rPr>
        <w:t>六、服务期限</w:t>
      </w:r>
      <w:bookmarkEnd w:id="48"/>
      <w:bookmarkEnd w:id="49"/>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50" w:name="_Toc174523194"/>
      <w:bookmarkStart w:id="51" w:name="_Toc174523105"/>
      <w:r>
        <w:rPr>
          <w:rFonts w:hint="eastAsia" w:ascii="仿宋" w:hAnsi="仿宋" w:eastAsia="仿宋"/>
          <w:b/>
          <w:color w:val="auto"/>
          <w:sz w:val="24"/>
          <w:szCs w:val="24"/>
          <w:highlight w:val="none"/>
        </w:rPr>
        <w:t xml:space="preserve"> 监理期限：</w:t>
      </w:r>
      <w:r>
        <w:rPr>
          <w:rFonts w:hint="eastAsia" w:ascii="仿宋" w:hAnsi="仿宋" w:eastAsia="仿宋"/>
          <w:bCs/>
          <w:color w:val="auto"/>
          <w:sz w:val="24"/>
          <w:szCs w:val="24"/>
          <w:highlight w:val="none"/>
        </w:rPr>
        <w:t>工程施工准备阶段至工程竣工备案（同施工工期）、后期结算</w:t>
      </w:r>
      <w:r>
        <w:rPr>
          <w:rFonts w:hint="eastAsia" w:ascii="仿宋" w:hAnsi="仿宋" w:eastAsia="仿宋"/>
          <w:bCs/>
          <w:color w:val="auto"/>
          <w:sz w:val="24"/>
          <w:szCs w:val="24"/>
          <w:highlight w:val="none"/>
          <w:lang w:eastAsia="zh-CN"/>
        </w:rPr>
        <w:t>审核</w:t>
      </w:r>
      <w:r>
        <w:rPr>
          <w:rFonts w:hint="eastAsia" w:ascii="仿宋" w:hAnsi="仿宋" w:eastAsia="仿宋"/>
          <w:bCs/>
          <w:color w:val="auto"/>
          <w:sz w:val="24"/>
          <w:szCs w:val="24"/>
          <w:highlight w:val="none"/>
        </w:rPr>
        <w:t>结束及保修期满</w:t>
      </w:r>
      <w:bookmarkEnd w:id="50"/>
      <w:bookmarkEnd w:id="51"/>
      <w:r>
        <w:rPr>
          <w:rFonts w:hint="eastAsia" w:ascii="仿宋" w:hAnsi="仿宋" w:eastAsia="仿宋"/>
          <w:bCs/>
          <w:color w:val="auto"/>
          <w:sz w:val="24"/>
          <w:szCs w:val="24"/>
          <w:highlight w:val="none"/>
          <w:lang w:eastAsia="zh-CN"/>
        </w:rPr>
        <w:t>。</w:t>
      </w:r>
    </w:p>
    <w:p w14:paraId="60BDD1C4">
      <w:pPr>
        <w:spacing w:line="360" w:lineRule="auto"/>
        <w:ind w:firstLine="477" w:firstLineChars="198"/>
        <w:outlineLvl w:val="2"/>
        <w:rPr>
          <w:rFonts w:hint="eastAsia" w:ascii="仿宋" w:hAnsi="仿宋" w:eastAsia="仿宋"/>
          <w:b/>
          <w:color w:val="auto"/>
          <w:sz w:val="24"/>
          <w:szCs w:val="24"/>
          <w:highlight w:val="none"/>
        </w:rPr>
      </w:pPr>
      <w:bookmarkStart w:id="52" w:name="_Toc174523111"/>
      <w:bookmarkStart w:id="53" w:name="_Toc174523200"/>
      <w:r>
        <w:rPr>
          <w:rFonts w:hint="eastAsia" w:ascii="仿宋" w:hAnsi="仿宋" w:eastAsia="仿宋"/>
          <w:b/>
          <w:color w:val="auto"/>
          <w:sz w:val="24"/>
          <w:szCs w:val="24"/>
          <w:highlight w:val="none"/>
        </w:rPr>
        <w:t>七、双方承诺</w:t>
      </w:r>
      <w:bookmarkEnd w:id="52"/>
      <w:bookmarkEnd w:id="53"/>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54" w:name="_Toc174523201"/>
      <w:bookmarkStart w:id="55" w:name="_Toc174523112"/>
      <w:r>
        <w:rPr>
          <w:rFonts w:hint="eastAsia" w:ascii="仿宋" w:hAnsi="仿宋" w:eastAsia="仿宋"/>
          <w:b/>
          <w:color w:val="auto"/>
          <w:sz w:val="24"/>
          <w:szCs w:val="24"/>
          <w:highlight w:val="none"/>
        </w:rPr>
        <w:t>八、合同订立</w:t>
      </w:r>
      <w:bookmarkEnd w:id="54"/>
      <w:bookmarkEnd w:id="55"/>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7"/>
        <w:spacing w:line="360" w:lineRule="auto"/>
        <w:ind w:firstLine="560"/>
        <w:rPr>
          <w:rFonts w:hint="eastAsia" w:ascii="仿宋" w:hAnsi="仿宋" w:eastAsia="仿宋"/>
          <w:bCs w:val="0"/>
          <w:color w:val="auto"/>
          <w:sz w:val="24"/>
          <w:szCs w:val="24"/>
          <w:highlight w:val="none"/>
        </w:rPr>
      </w:pPr>
      <w:bookmarkStart w:id="56" w:name="_Toc174523202"/>
      <w:bookmarkStart w:id="57" w:name="_Toc174523113"/>
      <w:r>
        <w:rPr>
          <w:rFonts w:hint="eastAsia" w:ascii="仿宋" w:hAnsi="仿宋" w:eastAsia="仿宋"/>
          <w:bCs w:val="0"/>
          <w:color w:val="auto"/>
          <w:sz w:val="24"/>
          <w:szCs w:val="24"/>
          <w:highlight w:val="none"/>
        </w:rPr>
        <w:t>九、合同生效</w:t>
      </w:r>
      <w:bookmarkEnd w:id="56"/>
      <w:bookmarkEnd w:id="57"/>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3"/>
        <w:numPr>
          <w:ilvl w:val="0"/>
          <w:numId w:val="14"/>
        </w:numPr>
        <w:spacing w:line="360" w:lineRule="auto"/>
        <w:rPr>
          <w:rFonts w:hint="eastAsia" w:ascii="仿宋" w:hAnsi="仿宋" w:eastAsia="仿宋"/>
          <w:color w:val="auto"/>
          <w:sz w:val="32"/>
          <w:szCs w:val="40"/>
          <w:highlight w:val="none"/>
        </w:rPr>
      </w:pPr>
      <w:bookmarkStart w:id="58" w:name="_Toc129765781"/>
      <w:bookmarkStart w:id="59" w:name="_Toc174523203"/>
      <w:bookmarkStart w:id="60" w:name="_Toc174523114"/>
      <w:r>
        <w:rPr>
          <w:rFonts w:hint="eastAsia" w:ascii="仿宋" w:hAnsi="仿宋" w:eastAsia="仿宋"/>
          <w:color w:val="auto"/>
          <w:sz w:val="32"/>
          <w:szCs w:val="40"/>
          <w:highlight w:val="none"/>
        </w:rPr>
        <w:t xml:space="preserve"> 通用条件</w:t>
      </w:r>
      <w:bookmarkEnd w:id="58"/>
      <w:bookmarkEnd w:id="59"/>
      <w:bookmarkEnd w:id="60"/>
    </w:p>
    <w:p w14:paraId="79802316">
      <w:pPr>
        <w:pStyle w:val="4"/>
        <w:numPr>
          <w:ilvl w:val="0"/>
          <w:numId w:val="0"/>
        </w:numPr>
        <w:rPr>
          <w:rFonts w:hint="default" w:eastAsia="宋体"/>
          <w:highlight w:val="none"/>
          <w:lang w:val="en-US" w:eastAsia="zh-CN"/>
        </w:rPr>
      </w:pPr>
      <w:r>
        <w:rPr>
          <w:rFonts w:hint="eastAsia"/>
          <w:highlight w:val="none"/>
          <w:lang w:val="en-US" w:eastAsia="zh-CN"/>
        </w:rPr>
        <w:t xml:space="preserve">                        </w:t>
      </w:r>
      <w:r>
        <w:rPr>
          <w:rFonts w:hint="eastAsia"/>
          <w:b/>
          <w:bCs/>
          <w:highlight w:val="none"/>
          <w:lang w:val="en-US" w:eastAsia="zh-CN"/>
        </w:rPr>
        <w:t xml:space="preserve">  略</w:t>
      </w:r>
    </w:p>
    <w:p w14:paraId="2E96CD29">
      <w:pPr>
        <w:rPr>
          <w:rFonts w:hint="eastAsia" w:ascii="仿宋" w:hAnsi="仿宋" w:eastAsia="仿宋"/>
          <w:color w:val="auto"/>
          <w:sz w:val="24"/>
          <w:szCs w:val="24"/>
          <w:highlight w:val="none"/>
        </w:rPr>
      </w:pPr>
      <w:bookmarkStart w:id="61" w:name="_Toc129765782"/>
      <w:bookmarkStart w:id="62" w:name="_Toc174523115"/>
      <w:bookmarkStart w:id="63" w:name="_Toc174523204"/>
    </w:p>
    <w:p w14:paraId="52656655">
      <w:pPr>
        <w:pStyle w:val="3"/>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61"/>
      <w:bookmarkEnd w:id="62"/>
      <w:bookmarkEnd w:id="63"/>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rPr>
        <w:t>项目施工阶段全过程监理、缺陷责任期相关服务主要包括“三控三管一协调”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w:t>
      </w:r>
      <w:r>
        <w:rPr>
          <w:rFonts w:hint="eastAsia" w:ascii="仿宋" w:hAnsi="仿宋" w:eastAsia="仿宋"/>
          <w:b/>
          <w:color w:val="auto"/>
          <w:sz w:val="24"/>
          <w:szCs w:val="24"/>
          <w:highlight w:val="none"/>
          <w:u w:val="single"/>
          <w:lang w:val="en-US" w:eastAsia="zh-CN"/>
        </w:rPr>
        <w:t>结</w:t>
      </w:r>
      <w:r>
        <w:rPr>
          <w:rFonts w:hint="eastAsia" w:ascii="仿宋" w:hAnsi="仿宋" w:eastAsia="仿宋"/>
          <w:b/>
          <w:color w:val="auto"/>
          <w:sz w:val="24"/>
          <w:szCs w:val="24"/>
          <w:highlight w:val="none"/>
          <w:u w:val="single"/>
        </w:rPr>
        <w:t>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还包括保修阶段监理工作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 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1600万元</w:t>
      </w:r>
      <w:r>
        <w:rPr>
          <w:rFonts w:hint="eastAsia" w:ascii="仿宋" w:hAnsi="仿宋" w:eastAsia="仿宋"/>
          <w:b/>
          <w:bCs/>
          <w:color w:val="auto"/>
          <w:sz w:val="24"/>
          <w:szCs w:val="24"/>
          <w:highlight w:val="none"/>
          <w:lang w:eastAsia="zh-CN"/>
        </w:rPr>
        <w:t>（项目总投资）</w:t>
      </w:r>
      <w:r>
        <w:rPr>
          <w:rFonts w:hint="default" w:ascii="仿宋" w:hAnsi="仿宋" w:eastAsia="仿宋"/>
          <w:b/>
          <w:bCs/>
          <w:color w:val="auto"/>
          <w:sz w:val="24"/>
          <w:szCs w:val="24"/>
          <w:highlight w:val="none"/>
        </w:rPr>
        <w:t>*100%</w:t>
      </w:r>
      <w:r>
        <w:rPr>
          <w:rFonts w:ascii="仿宋" w:hAnsi="仿宋" w:eastAsia="仿宋"/>
          <w:color w:val="auto"/>
          <w:sz w:val="24"/>
          <w:szCs w:val="24"/>
          <w:highlight w:val="none"/>
        </w:rPr>
        <w:t>；</w:t>
      </w:r>
    </w:p>
    <w:p w14:paraId="065DA48E">
      <w:pPr>
        <w:spacing w:line="360" w:lineRule="auto"/>
        <w:ind w:firstLine="480" w:firstLineChars="200"/>
        <w:rPr>
          <w:rFonts w:hint="eastAsia" w:ascii="仿宋" w:hAnsi="仿宋" w:eastAsia="仿宋"/>
          <w:color w:val="auto"/>
          <w:sz w:val="24"/>
          <w:szCs w:val="24"/>
          <w:highlight w:val="none"/>
        </w:rPr>
      </w:pPr>
      <w:bookmarkStart w:id="64" w:name="_Hlk174015768"/>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64"/>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%，余款（计算方式同上）待质保期满质量回访合格后一次性返还。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65"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65"/>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③本项目计划工期为180日历天，若实际施工工期超过计划工期，监理服务费不增加。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0"/>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ascii="仿宋" w:hAnsi="仿宋" w:eastAsia="仿宋"/>
          <w:color w:val="auto"/>
          <w:sz w:val="24"/>
          <w:szCs w:val="24"/>
          <w:highlight w:val="none"/>
        </w:rPr>
        <w:t>10万元的违约金（不可抗力因素除外）；专业监理工程师不得更换，如需更换，须经发包人同意，并向发包人支付5万元的违约金（不可抗力因素除外）；监理人员不得更换，如需更换，须经发包人同意，并向发包人支付1万元的违约金（不可抗力因素除外）。更换的监理人员资质应不低于被更换的监理人员资质,否则监理人将向委托人承担10000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20000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1 万元～ 3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10000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20000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ascii="仿宋" w:hAnsi="仿宋" w:eastAsia="仿宋"/>
          <w:color w:val="auto"/>
          <w:sz w:val="24"/>
          <w:szCs w:val="24"/>
          <w:highlight w:val="none"/>
        </w:rPr>
        <w:t>20000元/次的违约金。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rPr>
        <w:t>监理人承担1</w:t>
      </w:r>
      <w:r>
        <w:rPr>
          <w:rFonts w:ascii="仿宋" w:hAnsi="仿宋" w:eastAsia="仿宋"/>
          <w:color w:val="auto"/>
          <w:sz w:val="24"/>
          <w:szCs w:val="24"/>
          <w:highlight w:val="none"/>
        </w:rPr>
        <w:t>0</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10000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FF0000"/>
          <w:sz w:val="24"/>
          <w:szCs w:val="24"/>
          <w:highlight w:val="none"/>
        </w:rPr>
      </w:pPr>
      <w:r>
        <w:rPr>
          <w:rFonts w:hint="eastAsia" w:ascii="仿宋" w:hAnsi="仿宋" w:eastAsia="仿宋"/>
          <w:color w:val="auto"/>
          <w:sz w:val="24"/>
          <w:szCs w:val="24"/>
          <w:highlight w:val="none"/>
          <w:lang w:val="en-US" w:eastAsia="zh-CN"/>
        </w:rPr>
        <w:t>9.25、承包人必须对绿化工程进行监管，</w:t>
      </w:r>
      <w:r>
        <w:rPr>
          <w:rFonts w:hint="eastAsia" w:ascii="仿宋" w:hAnsi="仿宋" w:eastAsia="仿宋"/>
          <w:color w:val="FF0000"/>
          <w:sz w:val="24"/>
          <w:szCs w:val="24"/>
          <w:highlight w:val="none"/>
          <w:lang w:val="en-US" w:eastAsia="zh-CN"/>
        </w:rPr>
        <w:t>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w:t>
      </w:r>
      <w:r>
        <w:rPr>
          <w:rFonts w:hint="default" w:ascii="仿宋" w:hAnsi="仿宋" w:eastAsia="仿宋"/>
          <w:color w:val="FF0000"/>
          <w:sz w:val="24"/>
          <w:szCs w:val="24"/>
          <w:highlight w:val="none"/>
          <w:lang w:val="en-US" w:eastAsia="zh-CN"/>
        </w:rPr>
        <w:t>：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w:t>
      </w:r>
      <w:r>
        <w:rPr>
          <w:rFonts w:hint="eastAsia" w:ascii="仿宋" w:hAnsi="仿宋" w:eastAsia="仿宋"/>
          <w:color w:val="FF0000"/>
          <w:sz w:val="24"/>
          <w:szCs w:val="24"/>
          <w:highlight w:val="none"/>
          <w:lang w:val="en-US" w:eastAsia="zh-CN"/>
        </w:rPr>
        <w:t>；竣工验收阶段监理</w:t>
      </w:r>
      <w:r>
        <w:rPr>
          <w:rFonts w:hint="default" w:ascii="仿宋" w:hAnsi="仿宋" w:eastAsia="仿宋"/>
          <w:color w:val="FF0000"/>
          <w:sz w:val="24"/>
          <w:szCs w:val="24"/>
          <w:highlight w:val="none"/>
          <w:lang w:val="en-US" w:eastAsia="zh-CN"/>
        </w:rPr>
        <w:t>，监理人员需要参与工程的竣工验收工作</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这包括对工程的质量进行检查和评估，对工程的资料进行审核和整理，以及对工程的保修和维护工作进行监督和管理</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对绿化工程的整体情况进行总结和评价</w:t>
      </w:r>
      <w:r>
        <w:rPr>
          <w:rFonts w:hint="eastAsia" w:ascii="仿宋" w:hAnsi="仿宋" w:eastAsia="仿宋"/>
          <w:color w:val="FF0000"/>
          <w:sz w:val="24"/>
          <w:szCs w:val="24"/>
          <w:highlight w:val="none"/>
          <w:lang w:val="en-US" w:eastAsia="zh-CN"/>
        </w:rPr>
        <w:t>。</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FF0000"/>
          <w:sz w:val="24"/>
          <w:szCs w:val="24"/>
          <w:highlight w:val="none"/>
          <w:lang w:val="en-US" w:eastAsia="zh-CN"/>
        </w:rPr>
        <w:t>补充</w:t>
      </w:r>
      <w:r>
        <w:rPr>
          <w:rFonts w:hint="eastAsia" w:ascii="仿宋" w:hAnsi="仿宋" w:eastAsia="仿宋"/>
          <w:color w:val="auto"/>
          <w:sz w:val="24"/>
          <w:szCs w:val="24"/>
          <w:highlight w:val="none"/>
        </w:rPr>
        <w:t>条款中</w:t>
      </w:r>
      <w:r>
        <w:rPr>
          <w:rFonts w:hint="eastAsia" w:ascii="仿宋" w:hAnsi="仿宋" w:eastAsia="仿宋"/>
          <w:color w:val="FF0000"/>
          <w:sz w:val="24"/>
          <w:szCs w:val="24"/>
          <w:highlight w:val="none"/>
        </w:rPr>
        <w:t>违约金</w:t>
      </w:r>
      <w:r>
        <w:rPr>
          <w:rFonts w:hint="eastAsia" w:ascii="仿宋" w:hAnsi="仿宋" w:eastAsia="仿宋"/>
          <w:color w:val="auto"/>
          <w:sz w:val="24"/>
          <w:szCs w:val="24"/>
          <w:highlight w:val="none"/>
        </w:rPr>
        <w:t>以“工程监理费”为基础计算，工程未审结前以合同暂定金额为基数</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工程经竣工验收不合格或者经使用发现质量缺陷的，监理因无偿继续履行监理义务直至工程合格，视为监理违约，监理人需承担全部监理费的20%作为违约金支付给发包人。</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299FD7BA">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4</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承包范围总平面图</w:t>
      </w:r>
    </w:p>
    <w:p w14:paraId="0BD92BE2">
      <w:pPr>
        <w:adjustRightInd w:val="0"/>
        <w:spacing w:line="360" w:lineRule="auto"/>
        <w:ind w:firstLine="240" w:firstLineChars="100"/>
        <w:rPr>
          <w:rFonts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5：《技术及管理标准》以委托人另行提供为准</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00CD6A3B">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第五部分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技术说明</w:t>
      </w:r>
    </w:p>
    <w:p w14:paraId="7165DBC9">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（略）</w:t>
      </w:r>
    </w:p>
    <w:p w14:paraId="6B14E452">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第六部分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施工图纸及勘察资料</w:t>
      </w:r>
    </w:p>
    <w:p w14:paraId="091EDBF3">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（另附）</w:t>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66" w:name="_Toc129765783"/>
      <w:bookmarkStart w:id="67" w:name="_Toc174523116"/>
      <w:bookmarkStart w:id="68" w:name="_Toc174523205"/>
      <w:bookmarkStart w:id="69"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2"/>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66"/>
      <w:bookmarkEnd w:id="67"/>
      <w:bookmarkEnd w:id="68"/>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铜陵市郊区生活污水管网新建改造工程（一期）监理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2C205A52">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总投资约1600万元。</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铜陵金诚资产运营有限公司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2"/>
          <w:highlight w:val="none"/>
        </w:rPr>
        <w:t>项目施工阶段全过程监理、缺陷责任期相关服务以及招标文件中所载明的内容及业主安排的其他事项。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3D914BB5">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2"/>
          <w:highlight w:val="none"/>
        </w:rPr>
        <w:t>工程施工准备阶段至工程竣工备案（同施工工期）、后期结算</w:t>
      </w:r>
      <w:r>
        <w:rPr>
          <w:rFonts w:hint="eastAsia" w:ascii="仿宋" w:hAnsi="仿宋" w:eastAsia="仿宋"/>
          <w:color w:val="auto"/>
          <w:sz w:val="24"/>
          <w:szCs w:val="22"/>
          <w:highlight w:val="none"/>
          <w:lang w:eastAsia="zh-CN"/>
        </w:rPr>
        <w:t>审核</w:t>
      </w:r>
      <w:r>
        <w:rPr>
          <w:rFonts w:hint="eastAsia" w:ascii="仿宋" w:hAnsi="仿宋" w:eastAsia="仿宋"/>
          <w:color w:val="auto"/>
          <w:sz w:val="24"/>
          <w:szCs w:val="22"/>
          <w:highlight w:val="none"/>
        </w:rPr>
        <w:t>结束及保修期满。</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ascii="仿宋" w:hAnsi="仿宋" w:eastAsia="仿宋"/>
          <w:b/>
          <w:color w:val="auto"/>
          <w:sz w:val="24"/>
          <w:szCs w:val="22"/>
          <w:highlight w:val="none"/>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429C2892">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4CEE987">
      <w:pPr>
        <w:pStyle w:val="2"/>
        <w:spacing w:line="360" w:lineRule="auto"/>
        <w:rPr>
          <w:rFonts w:hint="eastAsia" w:ascii="仿宋" w:hAnsi="仿宋" w:eastAsia="仿宋"/>
          <w:color w:val="auto"/>
          <w:sz w:val="36"/>
          <w:szCs w:val="44"/>
          <w:highlight w:val="none"/>
        </w:rPr>
      </w:pPr>
      <w:bookmarkStart w:id="70" w:name="_Toc129765784"/>
      <w:bookmarkStart w:id="71" w:name="_Toc174523206"/>
      <w:bookmarkStart w:id="72" w:name="_Toc174523117"/>
      <w:r>
        <w:rPr>
          <w:rFonts w:hint="eastAsia" w:ascii="仿宋" w:hAnsi="仿宋" w:eastAsia="仿宋"/>
          <w:color w:val="auto"/>
          <w:sz w:val="36"/>
          <w:szCs w:val="44"/>
          <w:highlight w:val="none"/>
        </w:rPr>
        <w:t>第六章 施工图纸及勘察资料</w:t>
      </w:r>
      <w:bookmarkEnd w:id="70"/>
      <w:bookmarkEnd w:id="71"/>
      <w:bookmarkEnd w:id="72"/>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（无）</w:t>
      </w:r>
    </w:p>
    <w:p w14:paraId="3276DEFD">
      <w:pPr>
        <w:spacing w:line="360" w:lineRule="auto"/>
        <w:jc w:val="center"/>
        <w:rPr>
          <w:rFonts w:hint="eastAsia" w:ascii="仿宋" w:hAnsi="仿宋" w:eastAsia="仿宋"/>
          <w:color w:val="auto"/>
          <w:sz w:val="32"/>
          <w:szCs w:val="28"/>
          <w:highlight w:val="none"/>
        </w:rPr>
      </w:pPr>
    </w:p>
    <w:p w14:paraId="5CB53315">
      <w:pPr>
        <w:pStyle w:val="2"/>
        <w:spacing w:line="360" w:lineRule="auto"/>
        <w:rPr>
          <w:rFonts w:hint="eastAsia" w:ascii="仿宋" w:hAnsi="仿宋" w:eastAsia="仿宋"/>
          <w:color w:val="auto"/>
          <w:sz w:val="36"/>
          <w:szCs w:val="44"/>
          <w:highlight w:val="none"/>
        </w:rPr>
      </w:pPr>
      <w:bookmarkStart w:id="73" w:name="_Toc129765785"/>
      <w:bookmarkStart w:id="74" w:name="_Toc174523118"/>
      <w:bookmarkStart w:id="75" w:name="_Toc174523207"/>
      <w:r>
        <w:rPr>
          <w:rFonts w:hint="eastAsia" w:ascii="仿宋" w:hAnsi="仿宋" w:eastAsia="仿宋"/>
          <w:color w:val="auto"/>
          <w:sz w:val="36"/>
          <w:szCs w:val="44"/>
          <w:highlight w:val="none"/>
        </w:rPr>
        <w:t>第七章 技术标准和要求</w:t>
      </w:r>
      <w:bookmarkEnd w:id="73"/>
      <w:bookmarkEnd w:id="74"/>
      <w:bookmarkEnd w:id="75"/>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69"/>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2"/>
        <w:spacing w:line="360" w:lineRule="auto"/>
        <w:rPr>
          <w:rFonts w:hint="eastAsia" w:ascii="仿宋" w:hAnsi="仿宋" w:eastAsia="仿宋"/>
          <w:color w:val="auto"/>
          <w:sz w:val="36"/>
          <w:szCs w:val="44"/>
          <w:highlight w:val="none"/>
        </w:rPr>
      </w:pPr>
      <w:bookmarkStart w:id="76" w:name="_Toc129765786"/>
      <w:bookmarkStart w:id="77" w:name="_Toc174523119"/>
      <w:bookmarkStart w:id="78" w:name="_Toc174523208"/>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76"/>
      <w:bookmarkEnd w:id="77"/>
      <w:bookmarkEnd w:id="78"/>
    </w:p>
    <w:p w14:paraId="51E40AA6">
      <w:pPr>
        <w:spacing w:line="360" w:lineRule="auto"/>
        <w:rPr>
          <w:rFonts w:hint="eastAsia" w:ascii="仿宋" w:hAnsi="仿宋" w:eastAsia="仿宋"/>
          <w:color w:val="auto"/>
          <w:sz w:val="32"/>
          <w:szCs w:val="28"/>
          <w:highlight w:val="none"/>
        </w:rPr>
      </w:pPr>
    </w:p>
    <w:p w14:paraId="5BCE1D49">
      <w:pPr>
        <w:pStyle w:val="3"/>
        <w:spacing w:line="360" w:lineRule="auto"/>
        <w:rPr>
          <w:rFonts w:hint="eastAsia" w:ascii="仿宋" w:hAnsi="仿宋" w:eastAsia="仿宋"/>
          <w:color w:val="auto"/>
          <w:sz w:val="28"/>
          <w:szCs w:val="28"/>
          <w:highlight w:val="none"/>
        </w:rPr>
      </w:pPr>
      <w:bookmarkStart w:id="79" w:name="_Toc174523120"/>
      <w:bookmarkStart w:id="80" w:name="_Toc124923412"/>
      <w:bookmarkStart w:id="81" w:name="_Toc129765787"/>
      <w:bookmarkStart w:id="82" w:name="_Toc174523209"/>
      <w:r>
        <w:rPr>
          <w:rFonts w:hint="eastAsia" w:ascii="仿宋" w:hAnsi="仿宋" w:eastAsia="仿宋"/>
          <w:color w:val="auto"/>
          <w:sz w:val="28"/>
          <w:szCs w:val="28"/>
          <w:highlight w:val="none"/>
        </w:rPr>
        <w:t>一、投标资格初步审查资料</w:t>
      </w:r>
      <w:bookmarkEnd w:id="79"/>
      <w:bookmarkEnd w:id="80"/>
      <w:bookmarkEnd w:id="81"/>
      <w:bookmarkEnd w:id="82"/>
    </w:p>
    <w:p w14:paraId="679F3BED">
      <w:pPr>
        <w:pStyle w:val="16"/>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22"/>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5"/>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5"/>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5"/>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5"/>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4"/>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14:paraId="69E6406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14:paraId="7BCAC8E9">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14:paraId="0FB1883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14:paraId="3039AF7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14:paraId="677B4A86">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项目总监理工程师相关材料</w:t>
      </w:r>
    </w:p>
    <w:p w14:paraId="0918E8D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关于总监理工程师现场到位率的承诺</w:t>
      </w:r>
    </w:p>
    <w:p w14:paraId="1ED085E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关于拟派总监理工程师不得有异地在监项目的承诺</w:t>
      </w:r>
    </w:p>
    <w:p w14:paraId="36BA30B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14:paraId="6B9FDAEE">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拟组建的项目监理机构</w:t>
      </w:r>
    </w:p>
    <w:p w14:paraId="67DA45DF">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14:paraId="74C550F2">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7"/>
        <w:spacing w:line="360" w:lineRule="auto"/>
        <w:jc w:val="center"/>
        <w:rPr>
          <w:rFonts w:hint="eastAsia" w:ascii="仿宋" w:hAnsi="仿宋" w:eastAsia="仿宋"/>
          <w:color w:val="auto"/>
          <w:sz w:val="32"/>
          <w:szCs w:val="36"/>
          <w:highlight w:val="none"/>
        </w:rPr>
      </w:pPr>
      <w:bookmarkStart w:id="83" w:name="_Toc174523121"/>
      <w:bookmarkStart w:id="84" w:name="_Toc174523210"/>
      <w:r>
        <w:rPr>
          <w:rFonts w:hint="eastAsia" w:ascii="仿宋" w:hAnsi="仿宋" w:eastAsia="仿宋"/>
          <w:color w:val="auto"/>
          <w:sz w:val="32"/>
          <w:szCs w:val="36"/>
          <w:highlight w:val="none"/>
        </w:rPr>
        <w:t>（一）法定代表人身份证明书</w:t>
      </w:r>
      <w:bookmarkEnd w:id="83"/>
      <w:bookmarkEnd w:id="84"/>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7"/>
        <w:spacing w:line="360" w:lineRule="auto"/>
        <w:ind w:left="0" w:leftChars="0" w:firstLine="722" w:firstLineChars="257"/>
        <w:rPr>
          <w:rFonts w:hint="eastAsia" w:ascii="仿宋" w:hAnsi="仿宋" w:eastAsia="仿宋"/>
          <w:color w:val="auto"/>
          <w:sz w:val="28"/>
          <w:szCs w:val="28"/>
          <w:highlight w:val="none"/>
        </w:rPr>
      </w:pPr>
      <w:bookmarkStart w:id="85" w:name="_Toc174523122"/>
      <w:bookmarkStart w:id="86" w:name="_Toc174523211"/>
      <w:r>
        <w:rPr>
          <w:rFonts w:hint="eastAsia" w:ascii="仿宋" w:hAnsi="仿宋" w:eastAsia="仿宋"/>
          <w:color w:val="auto"/>
          <w:sz w:val="28"/>
          <w:szCs w:val="28"/>
          <w:highlight w:val="none"/>
        </w:rPr>
        <w:t>（二）法定代表人身份证复印件（扫描件）</w:t>
      </w:r>
      <w:bookmarkEnd w:id="85"/>
      <w:bookmarkEnd w:id="86"/>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7"/>
        <w:spacing w:line="360" w:lineRule="auto"/>
        <w:rPr>
          <w:rFonts w:hint="eastAsia" w:ascii="仿宋" w:hAnsi="仿宋" w:eastAsia="仿宋"/>
          <w:color w:val="auto"/>
          <w:sz w:val="28"/>
          <w:szCs w:val="28"/>
          <w:highlight w:val="none"/>
        </w:rPr>
      </w:pPr>
      <w:bookmarkStart w:id="87" w:name="_Toc174523123"/>
      <w:bookmarkStart w:id="88" w:name="_Toc174523212"/>
      <w:r>
        <w:rPr>
          <w:rFonts w:hint="eastAsia" w:ascii="仿宋" w:hAnsi="仿宋" w:eastAsia="仿宋"/>
          <w:color w:val="auto"/>
          <w:sz w:val="28"/>
          <w:szCs w:val="28"/>
          <w:highlight w:val="none"/>
        </w:rPr>
        <w:t>（三）授权委托书</w:t>
      </w:r>
      <w:bookmarkEnd w:id="87"/>
      <w:bookmarkEnd w:id="88"/>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7"/>
        <w:spacing w:line="360" w:lineRule="auto"/>
        <w:jc w:val="center"/>
        <w:rPr>
          <w:rFonts w:hint="eastAsia" w:ascii="仿宋" w:hAnsi="仿宋" w:eastAsia="仿宋"/>
          <w:color w:val="auto"/>
          <w:sz w:val="28"/>
          <w:szCs w:val="28"/>
          <w:highlight w:val="none"/>
        </w:rPr>
      </w:pPr>
      <w:bookmarkStart w:id="89" w:name="_Toc174523124"/>
      <w:bookmarkStart w:id="90" w:name="_Toc174523213"/>
    </w:p>
    <w:p w14:paraId="0BBA0467">
      <w:pPr>
        <w:pStyle w:val="7"/>
        <w:spacing w:line="360" w:lineRule="auto"/>
        <w:jc w:val="center"/>
        <w:rPr>
          <w:rFonts w:hint="eastAsia" w:ascii="仿宋" w:hAnsi="仿宋" w:eastAsia="仿宋"/>
          <w:color w:val="auto"/>
          <w:sz w:val="28"/>
          <w:szCs w:val="28"/>
          <w:highlight w:val="none"/>
        </w:rPr>
      </w:pPr>
    </w:p>
    <w:p w14:paraId="6242F3A5">
      <w:pPr>
        <w:pStyle w:val="7"/>
        <w:spacing w:line="360" w:lineRule="auto"/>
        <w:jc w:val="center"/>
        <w:rPr>
          <w:rFonts w:hint="eastAsia" w:ascii="仿宋" w:hAnsi="仿宋" w:eastAsia="仿宋"/>
          <w:color w:val="auto"/>
          <w:sz w:val="28"/>
          <w:szCs w:val="28"/>
          <w:highlight w:val="none"/>
        </w:rPr>
      </w:pPr>
    </w:p>
    <w:p w14:paraId="27ABCD34">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89"/>
      <w:bookmarkEnd w:id="90"/>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7"/>
        <w:spacing w:line="360" w:lineRule="auto"/>
        <w:rPr>
          <w:rFonts w:hint="eastAsia" w:ascii="仿宋" w:hAnsi="仿宋" w:eastAsia="仿宋"/>
          <w:color w:val="auto"/>
          <w:sz w:val="28"/>
          <w:szCs w:val="28"/>
          <w:highlight w:val="none"/>
        </w:rPr>
      </w:pPr>
      <w:bookmarkStart w:id="91" w:name="_Toc174523125"/>
      <w:bookmarkStart w:id="92" w:name="_Toc174523214"/>
      <w:r>
        <w:rPr>
          <w:rFonts w:hint="eastAsia" w:ascii="仿宋" w:hAnsi="仿宋" w:eastAsia="仿宋"/>
          <w:color w:val="auto"/>
          <w:sz w:val="28"/>
          <w:szCs w:val="28"/>
          <w:highlight w:val="none"/>
        </w:rPr>
        <w:t>（五）企业资质</w:t>
      </w:r>
      <w:bookmarkEnd w:id="91"/>
      <w:bookmarkEnd w:id="92"/>
    </w:p>
    <w:p w14:paraId="7DDCB2F3">
      <w:pPr>
        <w:spacing w:line="360" w:lineRule="auto"/>
        <w:rPr>
          <w:rFonts w:hint="eastAsia"/>
          <w:color w:val="auto"/>
          <w:sz w:val="28"/>
          <w:szCs w:val="28"/>
          <w:highlight w:val="none"/>
        </w:rPr>
      </w:pPr>
    </w:p>
    <w:p w14:paraId="1E7A1EEF">
      <w:pPr>
        <w:pStyle w:val="7"/>
        <w:spacing w:line="360" w:lineRule="auto"/>
        <w:rPr>
          <w:rFonts w:hint="eastAsia" w:ascii="仿宋" w:hAnsi="仿宋" w:eastAsia="仿宋"/>
          <w:color w:val="auto"/>
          <w:sz w:val="28"/>
          <w:szCs w:val="28"/>
          <w:highlight w:val="none"/>
        </w:rPr>
      </w:pPr>
      <w:bookmarkStart w:id="93" w:name="_Toc174523215"/>
      <w:bookmarkStart w:id="94" w:name="_Toc174523126"/>
      <w:r>
        <w:rPr>
          <w:rFonts w:hint="eastAsia" w:ascii="仿宋" w:hAnsi="仿宋" w:eastAsia="仿宋"/>
          <w:color w:val="auto"/>
          <w:sz w:val="28"/>
          <w:szCs w:val="28"/>
          <w:highlight w:val="none"/>
        </w:rPr>
        <w:t>（六）项目总监理工程师相关材料</w:t>
      </w:r>
      <w:bookmarkEnd w:id="93"/>
      <w:bookmarkEnd w:id="94"/>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95" w:name="_Toc174523131"/>
      <w:bookmarkStart w:id="96" w:name="_Toc174523220"/>
    </w:p>
    <w:p w14:paraId="07DEE9F7">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95"/>
      <w:bookmarkEnd w:id="96"/>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7"/>
        <w:spacing w:line="360" w:lineRule="auto"/>
        <w:jc w:val="center"/>
        <w:rPr>
          <w:rFonts w:hint="eastAsia" w:ascii="仿宋" w:hAnsi="仿宋" w:eastAsia="仿宋"/>
          <w:color w:val="auto"/>
          <w:sz w:val="28"/>
          <w:szCs w:val="28"/>
          <w:highlight w:val="none"/>
        </w:rPr>
      </w:pPr>
      <w:bookmarkStart w:id="97" w:name="_Toc174523221"/>
      <w:bookmarkStart w:id="98" w:name="_Toc17452313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）关于拟派总监理工程师不得有异地在监项目的承诺</w:t>
      </w:r>
      <w:bookmarkEnd w:id="97"/>
      <w:bookmarkEnd w:id="98"/>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7"/>
        <w:spacing w:line="240" w:lineRule="auto"/>
        <w:jc w:val="center"/>
        <w:rPr>
          <w:rFonts w:hint="eastAsia" w:ascii="仿宋" w:hAnsi="仿宋" w:eastAsia="仿宋"/>
          <w:color w:val="auto"/>
          <w:sz w:val="28"/>
          <w:szCs w:val="28"/>
          <w:highlight w:val="none"/>
        </w:rPr>
      </w:pPr>
      <w:bookmarkStart w:id="99" w:name="_Toc174523222"/>
      <w:bookmarkStart w:id="100" w:name="_Toc174523133"/>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九</w:t>
      </w:r>
      <w:r>
        <w:rPr>
          <w:rFonts w:hint="eastAsia" w:ascii="仿宋" w:hAnsi="仿宋" w:eastAsia="仿宋"/>
          <w:color w:val="auto"/>
          <w:sz w:val="28"/>
          <w:szCs w:val="28"/>
          <w:highlight w:val="none"/>
        </w:rPr>
        <w:t>）诚信承诺书</w:t>
      </w:r>
      <w:bookmarkEnd w:id="99"/>
      <w:bookmarkEnd w:id="100"/>
    </w:p>
    <w:p w14:paraId="10FCEEED">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240" w:lineRule="auto"/>
        <w:rPr>
          <w:rFonts w:hint="eastAsia" w:ascii="仿宋" w:hAnsi="仿宋" w:eastAsia="仿宋"/>
          <w:color w:val="auto"/>
          <w:sz w:val="28"/>
          <w:szCs w:val="28"/>
          <w:highlight w:val="none"/>
        </w:rPr>
      </w:pPr>
    </w:p>
    <w:p w14:paraId="445358FF">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101" w:name="_Toc174523134"/>
      <w:bookmarkStart w:id="102" w:name="_Toc174523223"/>
      <w:r>
        <w:rPr>
          <w:rFonts w:hint="eastAsia" w:ascii="仿宋" w:hAnsi="仿宋" w:eastAsia="仿宋"/>
          <w:color w:val="auto"/>
          <w:sz w:val="28"/>
          <w:szCs w:val="28"/>
          <w:highlight w:val="none"/>
        </w:rPr>
        <w:br w:type="page"/>
      </w:r>
    </w:p>
    <w:p w14:paraId="72CD271E">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（十）拟组建的项目监理机构</w:t>
      </w:r>
      <w:bookmarkEnd w:id="101"/>
      <w:bookmarkEnd w:id="102"/>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103" w:name="_Toc174523224"/>
      <w:bookmarkStart w:id="104" w:name="_Toc174523135"/>
    </w:p>
    <w:p w14:paraId="5FDDD8BA">
      <w:pPr>
        <w:spacing w:line="360" w:lineRule="auto"/>
        <w:rPr>
          <w:rFonts w:hint="eastAsia" w:ascii="仿宋" w:hAnsi="仿宋" w:eastAsia="仿宋"/>
          <w:color w:val="auto"/>
          <w:sz w:val="28"/>
          <w:szCs w:val="28"/>
          <w:highlight w:val="none"/>
        </w:rPr>
      </w:pPr>
    </w:p>
    <w:p w14:paraId="3BBA7C72">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03"/>
      <w:bookmarkEnd w:id="104"/>
    </w:p>
    <w:p w14:paraId="75626F21">
      <w:pPr>
        <w:spacing w:line="360" w:lineRule="auto"/>
        <w:rPr>
          <w:rFonts w:hint="eastAsia" w:ascii="仿宋" w:hAnsi="仿宋" w:eastAsia="仿宋"/>
          <w:color w:val="auto"/>
          <w:sz w:val="28"/>
          <w:szCs w:val="28"/>
          <w:highlight w:val="none"/>
        </w:rPr>
      </w:pPr>
    </w:p>
    <w:p w14:paraId="189E1DD7">
      <w:pPr>
        <w:pStyle w:val="7"/>
        <w:spacing w:line="360" w:lineRule="auto"/>
        <w:rPr>
          <w:rFonts w:hint="eastAsia" w:ascii="仿宋" w:hAnsi="仿宋" w:eastAsia="仿宋" w:cs="宋体"/>
          <w:color w:val="auto"/>
          <w:sz w:val="28"/>
          <w:szCs w:val="28"/>
          <w:highlight w:val="none"/>
          <w:lang w:val="en-US" w:eastAsia="zh-CN"/>
        </w:rPr>
      </w:pPr>
    </w:p>
    <w:p w14:paraId="15E91713">
      <w:pPr>
        <w:pStyle w:val="7"/>
        <w:spacing w:line="360" w:lineRule="auto"/>
        <w:rPr>
          <w:rFonts w:hint="eastAsia" w:ascii="仿宋" w:hAnsi="仿宋" w:eastAsia="仿宋" w:cs="宋体"/>
          <w:color w:val="auto"/>
          <w:sz w:val="28"/>
          <w:szCs w:val="28"/>
          <w:highlight w:val="none"/>
          <w:lang w:val="en-US" w:eastAsia="zh-CN"/>
        </w:rPr>
      </w:pPr>
      <w:bookmarkStart w:id="105" w:name="_Toc174523136"/>
      <w:bookmarkStart w:id="106" w:name="_Toc174523225"/>
      <w:r>
        <w:rPr>
          <w:rFonts w:hint="eastAsia" w:ascii="仿宋" w:hAnsi="仿宋" w:eastAsia="仿宋" w:cs="宋体"/>
          <w:color w:val="auto"/>
          <w:sz w:val="28"/>
          <w:szCs w:val="28"/>
          <w:highlight w:val="none"/>
          <w:lang w:val="en-US" w:eastAsia="zh-CN"/>
        </w:rPr>
        <w:t>（十二）投标人认为需要提交的其他资料</w:t>
      </w:r>
      <w:bookmarkEnd w:id="105"/>
      <w:bookmarkEnd w:id="106"/>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3"/>
        <w:rPr>
          <w:rFonts w:hint="eastAsia"/>
          <w:color w:val="auto"/>
          <w:highlight w:val="none"/>
        </w:rPr>
      </w:pPr>
    </w:p>
    <w:p w14:paraId="56D6FCFB">
      <w:pPr>
        <w:pStyle w:val="4"/>
        <w:rPr>
          <w:rFonts w:hint="eastAsia"/>
          <w:color w:val="auto"/>
          <w:highlight w:val="none"/>
        </w:rPr>
      </w:pPr>
    </w:p>
    <w:p w14:paraId="701ABDD6">
      <w:pPr>
        <w:pStyle w:val="30"/>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4"/>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3"/>
        <w:spacing w:line="360" w:lineRule="auto"/>
        <w:jc w:val="left"/>
        <w:rPr>
          <w:rFonts w:hint="eastAsia" w:ascii="仿宋" w:hAnsi="仿宋" w:eastAsia="仿宋"/>
          <w:color w:val="auto"/>
          <w:sz w:val="36"/>
          <w:szCs w:val="36"/>
          <w:highlight w:val="none"/>
        </w:rPr>
      </w:pPr>
      <w:bookmarkStart w:id="107" w:name="_Toc17292"/>
      <w:bookmarkStart w:id="108" w:name="_Toc21196"/>
      <w:bookmarkStart w:id="109" w:name="_Toc174523137"/>
      <w:bookmarkStart w:id="110" w:name="_Toc129765789"/>
      <w:bookmarkStart w:id="111" w:name="_Toc124923414"/>
      <w:bookmarkStart w:id="112" w:name="_Toc174523226"/>
      <w:bookmarkStart w:id="113" w:name="_Toc124923413"/>
      <w:bookmarkStart w:id="114" w:name="_Toc129765788"/>
      <w:r>
        <w:rPr>
          <w:rFonts w:hint="eastAsia" w:ascii="仿宋" w:hAnsi="仿宋" w:eastAsia="仿宋"/>
          <w:color w:val="auto"/>
          <w:sz w:val="36"/>
          <w:szCs w:val="36"/>
          <w:highlight w:val="none"/>
        </w:rPr>
        <w:t>二、</w:t>
      </w:r>
      <w:bookmarkEnd w:id="107"/>
      <w:bookmarkEnd w:id="108"/>
      <w:r>
        <w:rPr>
          <w:rFonts w:hint="eastAsia" w:ascii="仿宋" w:hAnsi="仿宋" w:eastAsia="仿宋"/>
          <w:color w:val="auto"/>
          <w:sz w:val="36"/>
          <w:szCs w:val="36"/>
          <w:highlight w:val="none"/>
        </w:rPr>
        <w:t>商务标</w:t>
      </w:r>
      <w:bookmarkEnd w:id="109"/>
      <w:bookmarkEnd w:id="110"/>
      <w:bookmarkEnd w:id="111"/>
      <w:bookmarkEnd w:id="112"/>
    </w:p>
    <w:p w14:paraId="19D97F0D">
      <w:pPr>
        <w:pStyle w:val="30"/>
        <w:spacing w:after="156" w:line="360" w:lineRule="auto"/>
        <w:jc w:val="left"/>
        <w:rPr>
          <w:rFonts w:hint="eastAsia" w:ascii="仿宋" w:hAnsi="仿宋" w:eastAsia="仿宋"/>
          <w:color w:val="auto"/>
          <w:sz w:val="32"/>
          <w:szCs w:val="32"/>
          <w:highlight w:val="none"/>
        </w:rPr>
      </w:pPr>
    </w:p>
    <w:p w14:paraId="30527EDF">
      <w:pPr>
        <w:pStyle w:val="30"/>
        <w:spacing w:after="156" w:line="360" w:lineRule="auto"/>
        <w:jc w:val="left"/>
        <w:rPr>
          <w:rFonts w:hint="eastAsia" w:ascii="仿宋" w:hAnsi="仿宋" w:eastAsia="仿宋"/>
          <w:color w:val="auto"/>
          <w:sz w:val="32"/>
          <w:szCs w:val="32"/>
          <w:highlight w:val="none"/>
        </w:rPr>
      </w:pPr>
    </w:p>
    <w:p w14:paraId="3DEC967A">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5"/>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5"/>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5"/>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7"/>
        <w:spacing w:line="360" w:lineRule="auto"/>
        <w:rPr>
          <w:rFonts w:hint="eastAsia" w:ascii="仿宋" w:hAnsi="仿宋" w:eastAsia="仿宋"/>
          <w:color w:val="auto"/>
          <w:sz w:val="32"/>
          <w:szCs w:val="32"/>
          <w:highlight w:val="none"/>
        </w:rPr>
      </w:pPr>
      <w:bookmarkStart w:id="115" w:name="_Toc174523227"/>
      <w:bookmarkStart w:id="116" w:name="_Toc124923415"/>
      <w:bookmarkStart w:id="117" w:name="_Toc174523138"/>
      <w:r>
        <w:rPr>
          <w:rFonts w:hint="eastAsia" w:ascii="仿宋" w:hAnsi="仿宋" w:eastAsia="仿宋"/>
          <w:color w:val="auto"/>
          <w:sz w:val="32"/>
          <w:szCs w:val="32"/>
          <w:highlight w:val="none"/>
        </w:rPr>
        <w:t>（一）投标函</w:t>
      </w:r>
      <w:bookmarkEnd w:id="115"/>
      <w:bookmarkEnd w:id="116"/>
      <w:bookmarkEnd w:id="117"/>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铜陵市郊区生活污水管网新建改造工程（一期）监理</w:t>
      </w:r>
      <w:r>
        <w:rPr>
          <w:rFonts w:hint="eastAsia" w:ascii="仿宋" w:hAnsi="仿宋" w:eastAsia="仿宋" w:cs="宋体"/>
          <w:b/>
          <w:color w:val="auto"/>
          <w:sz w:val="28"/>
          <w:szCs w:val="28"/>
          <w:highlight w:val="none"/>
          <w:u w:val="single"/>
          <w:lang w:eastAsia="zh-CN"/>
        </w:rPr>
        <w:t xml:space="preserve"> </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18" w:name="_Toc124923417"/>
      <w:bookmarkStart w:id="119" w:name="_Toc174523140"/>
      <w:bookmarkStart w:id="120" w:name="_Toc174523229"/>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18"/>
      <w:r>
        <w:rPr>
          <w:rFonts w:hint="eastAsia" w:ascii="仿宋" w:hAnsi="仿宋" w:eastAsia="仿宋"/>
          <w:color w:val="auto"/>
          <w:sz w:val="28"/>
          <w:szCs w:val="28"/>
          <w:highlight w:val="none"/>
        </w:rPr>
        <w:t>招标文件要求的其他资料</w:t>
      </w:r>
      <w:bookmarkEnd w:id="119"/>
      <w:bookmarkEnd w:id="120"/>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7"/>
        <w:spacing w:line="360" w:lineRule="auto"/>
        <w:rPr>
          <w:rFonts w:hint="eastAsia" w:ascii="仿宋" w:hAnsi="仿宋" w:eastAsia="仿宋"/>
          <w:color w:val="auto"/>
          <w:sz w:val="28"/>
          <w:szCs w:val="28"/>
          <w:highlight w:val="none"/>
        </w:rPr>
      </w:pPr>
      <w:bookmarkStart w:id="121" w:name="_Toc124923418"/>
      <w:bookmarkStart w:id="122" w:name="_Toc174523141"/>
      <w:bookmarkStart w:id="123" w:name="_Toc174523230"/>
      <w:r>
        <w:rPr>
          <w:rFonts w:hint="eastAsia" w:ascii="仿宋" w:hAnsi="仿宋" w:eastAsia="仿宋"/>
          <w:color w:val="auto"/>
          <w:sz w:val="28"/>
          <w:szCs w:val="28"/>
          <w:highlight w:val="none"/>
        </w:rPr>
        <w:t>（四）</w:t>
      </w:r>
      <w:bookmarkEnd w:id="121"/>
      <w:r>
        <w:rPr>
          <w:rFonts w:hint="eastAsia" w:ascii="仿宋" w:hAnsi="仿宋" w:eastAsia="仿宋"/>
          <w:color w:val="auto"/>
          <w:sz w:val="28"/>
          <w:szCs w:val="28"/>
          <w:highlight w:val="none"/>
        </w:rPr>
        <w:t>投标人认为需要提交的其他资料</w:t>
      </w:r>
      <w:bookmarkEnd w:id="122"/>
      <w:bookmarkEnd w:id="123"/>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3"/>
        <w:spacing w:line="360" w:lineRule="auto"/>
        <w:rPr>
          <w:rFonts w:hint="eastAsia" w:ascii="仿宋" w:hAnsi="仿宋" w:eastAsia="仿宋"/>
          <w:color w:val="auto"/>
          <w:sz w:val="32"/>
          <w:szCs w:val="32"/>
          <w:highlight w:val="none"/>
        </w:rPr>
      </w:pPr>
      <w:bookmarkStart w:id="124" w:name="_Toc174523231"/>
      <w:bookmarkStart w:id="125" w:name="_Toc174523142"/>
      <w:r>
        <w:rPr>
          <w:rFonts w:hint="eastAsia" w:ascii="仿宋" w:hAnsi="仿宋" w:eastAsia="仿宋"/>
          <w:color w:val="auto"/>
          <w:sz w:val="32"/>
          <w:szCs w:val="32"/>
          <w:highlight w:val="none"/>
        </w:rPr>
        <w:t>三、资格审查及技术标</w:t>
      </w:r>
      <w:bookmarkEnd w:id="113"/>
      <w:bookmarkEnd w:id="114"/>
      <w:bookmarkEnd w:id="124"/>
      <w:bookmarkEnd w:id="125"/>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22"/>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5"/>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5"/>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7"/>
        <w:spacing w:line="360" w:lineRule="auto"/>
        <w:rPr>
          <w:rFonts w:hint="eastAsia" w:ascii="仿宋" w:hAnsi="仿宋" w:eastAsia="仿宋"/>
          <w:color w:val="auto"/>
          <w:sz w:val="28"/>
          <w:szCs w:val="28"/>
          <w:highlight w:val="none"/>
        </w:rPr>
      </w:pPr>
      <w:bookmarkStart w:id="126" w:name="_Toc174523143"/>
      <w:bookmarkStart w:id="127" w:name="_Toc174523232"/>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26"/>
      <w:bookmarkEnd w:id="127"/>
    </w:p>
    <w:p w14:paraId="027D8BE8">
      <w:pPr>
        <w:spacing w:line="360" w:lineRule="auto"/>
        <w:rPr>
          <w:rFonts w:hint="eastAsia" w:ascii="仿宋" w:hAnsi="仿宋" w:eastAsia="仿宋"/>
          <w:color w:val="auto"/>
          <w:sz w:val="28"/>
          <w:szCs w:val="28"/>
          <w:highlight w:val="none"/>
        </w:rPr>
      </w:pPr>
    </w:p>
    <w:p w14:paraId="0ACD6C47">
      <w:pPr>
        <w:pStyle w:val="7"/>
        <w:spacing w:line="360" w:lineRule="auto"/>
        <w:rPr>
          <w:rFonts w:hint="eastAsia" w:ascii="仿宋" w:hAnsi="仿宋" w:eastAsia="仿宋"/>
          <w:color w:val="auto"/>
          <w:sz w:val="28"/>
          <w:szCs w:val="28"/>
          <w:highlight w:val="none"/>
        </w:rPr>
      </w:pPr>
      <w:bookmarkStart w:id="128" w:name="_Toc174523233"/>
      <w:bookmarkStart w:id="129" w:name="_Toc174523144"/>
      <w:r>
        <w:rPr>
          <w:rFonts w:hint="eastAsia" w:ascii="仿宋" w:hAnsi="仿宋" w:eastAsia="仿宋"/>
          <w:color w:val="auto"/>
          <w:sz w:val="28"/>
          <w:szCs w:val="28"/>
          <w:highlight w:val="none"/>
        </w:rPr>
        <w:t>（二）拟派总监理工程师实力</w:t>
      </w:r>
      <w:bookmarkEnd w:id="128"/>
      <w:bookmarkEnd w:id="129"/>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7"/>
        <w:spacing w:line="360" w:lineRule="auto"/>
        <w:rPr>
          <w:rFonts w:hint="eastAsia" w:ascii="仿宋" w:hAnsi="仿宋" w:eastAsia="仿宋"/>
          <w:color w:val="auto"/>
          <w:sz w:val="28"/>
          <w:szCs w:val="28"/>
          <w:highlight w:val="none"/>
        </w:rPr>
      </w:pPr>
      <w:bookmarkStart w:id="130" w:name="_Toc174523234"/>
      <w:bookmarkStart w:id="131" w:name="_Toc174523145"/>
      <w:r>
        <w:rPr>
          <w:rFonts w:hint="eastAsia" w:ascii="仿宋" w:hAnsi="仿宋" w:eastAsia="仿宋"/>
          <w:color w:val="auto"/>
          <w:sz w:val="28"/>
          <w:szCs w:val="28"/>
          <w:highlight w:val="none"/>
        </w:rPr>
        <w:t>（三）</w:t>
      </w:r>
      <w:bookmarkEnd w:id="130"/>
      <w:bookmarkEnd w:id="131"/>
      <w:bookmarkStart w:id="132" w:name="_Toc174523235"/>
      <w:bookmarkStart w:id="133" w:name="_Toc174523146"/>
      <w:r>
        <w:rPr>
          <w:rFonts w:hint="eastAsia" w:ascii="仿宋" w:hAnsi="仿宋" w:eastAsia="仿宋"/>
          <w:color w:val="auto"/>
          <w:sz w:val="28"/>
          <w:szCs w:val="28"/>
          <w:highlight w:val="none"/>
        </w:rPr>
        <w:t>拟派专业监理工程师实力</w:t>
      </w:r>
      <w:bookmarkEnd w:id="132"/>
      <w:bookmarkEnd w:id="133"/>
    </w:p>
    <w:p w14:paraId="13E1D2D5">
      <w:pPr>
        <w:spacing w:line="360" w:lineRule="auto"/>
        <w:rPr>
          <w:rFonts w:hint="eastAsia" w:ascii="仿宋" w:hAnsi="仿宋" w:eastAsia="仿宋"/>
          <w:color w:val="auto"/>
          <w:sz w:val="28"/>
          <w:szCs w:val="28"/>
          <w:highlight w:val="none"/>
        </w:rPr>
      </w:pPr>
    </w:p>
    <w:p w14:paraId="02B7B80E">
      <w:pPr>
        <w:pStyle w:val="7"/>
        <w:spacing w:line="360" w:lineRule="auto"/>
        <w:rPr>
          <w:rFonts w:hint="eastAsia" w:ascii="仿宋" w:hAnsi="仿宋" w:eastAsia="仿宋"/>
          <w:color w:val="auto"/>
          <w:sz w:val="28"/>
          <w:szCs w:val="28"/>
          <w:highlight w:val="none"/>
        </w:rPr>
      </w:pPr>
      <w:bookmarkStart w:id="134" w:name="_Toc174523236"/>
      <w:bookmarkStart w:id="135" w:name="_Toc174523147"/>
      <w:r>
        <w:rPr>
          <w:rFonts w:hint="eastAsia" w:ascii="仿宋" w:hAnsi="仿宋" w:eastAsia="仿宋"/>
          <w:color w:val="auto"/>
          <w:sz w:val="28"/>
          <w:szCs w:val="28"/>
          <w:highlight w:val="none"/>
        </w:rPr>
        <w:t>（四）企业类似工程业绩</w:t>
      </w:r>
      <w:bookmarkEnd w:id="134"/>
      <w:bookmarkEnd w:id="135"/>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7"/>
        <w:spacing w:line="360" w:lineRule="auto"/>
        <w:rPr>
          <w:rFonts w:hint="eastAsia" w:ascii="仿宋" w:hAnsi="仿宋" w:eastAsia="仿宋"/>
          <w:color w:val="auto"/>
          <w:sz w:val="28"/>
          <w:szCs w:val="28"/>
          <w:highlight w:val="none"/>
        </w:rPr>
      </w:pPr>
      <w:bookmarkStart w:id="136" w:name="_Toc174523148"/>
      <w:bookmarkStart w:id="137" w:name="_Toc174523237"/>
      <w:r>
        <w:rPr>
          <w:rFonts w:hint="eastAsia" w:ascii="仿宋" w:hAnsi="仿宋" w:eastAsia="仿宋"/>
          <w:color w:val="auto"/>
          <w:sz w:val="28"/>
          <w:szCs w:val="28"/>
          <w:highlight w:val="none"/>
        </w:rPr>
        <w:t>（五）企业奖项</w:t>
      </w:r>
      <w:bookmarkEnd w:id="136"/>
      <w:bookmarkEnd w:id="137"/>
    </w:p>
    <w:p w14:paraId="7B60ADD2">
      <w:pPr>
        <w:spacing w:line="360" w:lineRule="auto"/>
        <w:rPr>
          <w:rFonts w:hint="eastAsia" w:ascii="仿宋" w:hAnsi="仿宋" w:eastAsia="仿宋"/>
          <w:color w:val="auto"/>
          <w:sz w:val="28"/>
          <w:szCs w:val="28"/>
          <w:highlight w:val="none"/>
        </w:rPr>
      </w:pPr>
    </w:p>
    <w:p w14:paraId="6ED4AF3B">
      <w:pPr>
        <w:pStyle w:val="7"/>
        <w:spacing w:line="360" w:lineRule="auto"/>
        <w:rPr>
          <w:rFonts w:hint="eastAsia" w:ascii="仿宋" w:hAnsi="仿宋" w:eastAsia="仿宋"/>
          <w:color w:val="auto"/>
          <w:sz w:val="28"/>
          <w:szCs w:val="28"/>
          <w:highlight w:val="none"/>
        </w:rPr>
      </w:pPr>
      <w:bookmarkStart w:id="138" w:name="_Toc174523149"/>
      <w:bookmarkStart w:id="139" w:name="_Toc174523238"/>
      <w:r>
        <w:rPr>
          <w:rFonts w:hint="eastAsia" w:ascii="仿宋" w:hAnsi="仿宋" w:eastAsia="仿宋"/>
          <w:color w:val="auto"/>
          <w:sz w:val="28"/>
          <w:szCs w:val="28"/>
          <w:highlight w:val="none"/>
        </w:rPr>
        <w:t>（六）企业荣誉</w:t>
      </w:r>
      <w:bookmarkEnd w:id="138"/>
      <w:bookmarkEnd w:id="139"/>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7"/>
        <w:spacing w:line="360" w:lineRule="auto"/>
        <w:jc w:val="center"/>
        <w:rPr>
          <w:rFonts w:hint="eastAsia" w:ascii="仿宋" w:hAnsi="仿宋" w:eastAsia="仿宋"/>
          <w:color w:val="auto"/>
          <w:sz w:val="28"/>
          <w:szCs w:val="28"/>
          <w:highlight w:val="none"/>
        </w:rPr>
      </w:pPr>
      <w:bookmarkStart w:id="140" w:name="_Toc174523150"/>
      <w:bookmarkStart w:id="141" w:name="_Toc174523239"/>
      <w:r>
        <w:rPr>
          <w:rFonts w:hint="eastAsia" w:ascii="仿宋" w:hAnsi="仿宋" w:eastAsia="仿宋"/>
          <w:color w:val="auto"/>
          <w:sz w:val="28"/>
          <w:szCs w:val="28"/>
          <w:highlight w:val="none"/>
        </w:rPr>
        <w:t>（七）拟组建的项目监理机构人员及证书</w:t>
      </w:r>
      <w:bookmarkEnd w:id="140"/>
      <w:bookmarkEnd w:id="141"/>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7"/>
        <w:spacing w:line="360" w:lineRule="auto"/>
        <w:jc w:val="center"/>
        <w:rPr>
          <w:rFonts w:hint="eastAsia" w:ascii="仿宋" w:hAnsi="仿宋" w:eastAsia="仿宋"/>
          <w:color w:val="auto"/>
          <w:sz w:val="28"/>
          <w:szCs w:val="28"/>
          <w:highlight w:val="none"/>
        </w:rPr>
      </w:pPr>
      <w:bookmarkStart w:id="142" w:name="_Toc174523151"/>
      <w:bookmarkStart w:id="143" w:name="_Toc174523240"/>
      <w:r>
        <w:rPr>
          <w:rFonts w:hint="eastAsia" w:ascii="仿宋" w:hAnsi="仿宋" w:eastAsia="仿宋"/>
          <w:color w:val="auto"/>
          <w:sz w:val="28"/>
          <w:szCs w:val="28"/>
          <w:highlight w:val="none"/>
        </w:rPr>
        <w:t>（八）招文件要求的其他资料</w:t>
      </w:r>
      <w:bookmarkEnd w:id="142"/>
      <w:bookmarkEnd w:id="143"/>
    </w:p>
    <w:p w14:paraId="17F36650">
      <w:pPr>
        <w:spacing w:line="360" w:lineRule="auto"/>
        <w:rPr>
          <w:rFonts w:hint="eastAsia" w:ascii="仿宋" w:hAnsi="仿宋" w:eastAsia="仿宋"/>
          <w:color w:val="auto"/>
          <w:sz w:val="28"/>
          <w:szCs w:val="28"/>
          <w:highlight w:val="none"/>
        </w:rPr>
      </w:pPr>
    </w:p>
    <w:p w14:paraId="2CD801F2">
      <w:pPr>
        <w:rPr>
          <w:rFonts w:hint="eastAsia" w:ascii="仿宋" w:hAnsi="仿宋" w:eastAsia="仿宋"/>
          <w:color w:val="auto"/>
          <w:sz w:val="28"/>
          <w:szCs w:val="28"/>
          <w:highlight w:val="none"/>
        </w:rPr>
      </w:pPr>
      <w:bookmarkStart w:id="144" w:name="_Toc174523152"/>
      <w:bookmarkStart w:id="145" w:name="_Toc174523241"/>
      <w:r>
        <w:rPr>
          <w:rFonts w:hint="eastAsia" w:ascii="仿宋" w:hAnsi="仿宋" w:eastAsia="仿宋"/>
          <w:color w:val="auto"/>
          <w:sz w:val="28"/>
          <w:szCs w:val="28"/>
          <w:highlight w:val="none"/>
        </w:rPr>
        <w:br w:type="page"/>
      </w:r>
    </w:p>
    <w:p w14:paraId="4BE44AC7">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44"/>
      <w:bookmarkEnd w:id="145"/>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3"/>
        <w:rPr>
          <w:rFonts w:hint="eastAsia" w:ascii="仿宋" w:hAnsi="仿宋" w:eastAsia="仿宋"/>
          <w:b/>
          <w:color w:val="auto"/>
          <w:sz w:val="28"/>
          <w:szCs w:val="28"/>
          <w:highlight w:val="none"/>
        </w:rPr>
      </w:pPr>
    </w:p>
    <w:p w14:paraId="6F9E8295">
      <w:pPr>
        <w:pStyle w:val="4"/>
        <w:rPr>
          <w:rFonts w:hint="eastAsia" w:ascii="仿宋" w:hAnsi="仿宋" w:eastAsia="仿宋"/>
          <w:b/>
          <w:color w:val="auto"/>
          <w:sz w:val="28"/>
          <w:szCs w:val="28"/>
          <w:highlight w:val="none"/>
        </w:rPr>
      </w:pPr>
    </w:p>
    <w:p w14:paraId="3ECC1A00">
      <w:pPr>
        <w:pStyle w:val="4"/>
        <w:rPr>
          <w:rFonts w:hint="eastAsia" w:ascii="仿宋" w:hAnsi="仿宋" w:eastAsia="仿宋"/>
          <w:b/>
          <w:color w:val="auto"/>
          <w:sz w:val="28"/>
          <w:szCs w:val="28"/>
          <w:highlight w:val="none"/>
        </w:rPr>
      </w:pPr>
    </w:p>
    <w:p w14:paraId="4D618603">
      <w:pPr>
        <w:pStyle w:val="4"/>
        <w:rPr>
          <w:rFonts w:hint="eastAsia" w:ascii="仿宋" w:hAnsi="仿宋" w:eastAsia="仿宋"/>
          <w:b/>
          <w:color w:val="auto"/>
          <w:sz w:val="28"/>
          <w:szCs w:val="28"/>
          <w:highlight w:val="none"/>
        </w:rPr>
      </w:pPr>
    </w:p>
    <w:p w14:paraId="1DF0EA73">
      <w:pPr>
        <w:pStyle w:val="30"/>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4"/>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5"/>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5">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6">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7">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9">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4"/>
  </w:num>
  <w:num w:numId="2">
    <w:abstractNumId w:val="3"/>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9"/>
  </w:num>
  <w:num w:numId="4">
    <w:abstractNumId w:val="5"/>
  </w:num>
  <w:num w:numId="5">
    <w:abstractNumId w:val="11"/>
  </w:num>
  <w:num w:numId="6">
    <w:abstractNumId w:val="8"/>
  </w:num>
  <w:num w:numId="7">
    <w:abstractNumId w:val="2"/>
  </w:num>
  <w:num w:numId="8">
    <w:abstractNumId w:val="12"/>
  </w:num>
  <w:num w:numId="9">
    <w:abstractNumId w:val="6"/>
  </w:num>
  <w:num w:numId="10">
    <w:abstractNumId w:val="7"/>
  </w:num>
  <w:num w:numId="11">
    <w:abstractNumId w:val="13"/>
  </w:num>
  <w:num w:numId="12">
    <w:abstractNumId w:val="14"/>
  </w:num>
  <w:num w:numId="13">
    <w:abstractNumId w:val="10"/>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E3564F"/>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ED4384"/>
    <w:rsid w:val="02785724"/>
    <w:rsid w:val="05A3088D"/>
    <w:rsid w:val="05E76723"/>
    <w:rsid w:val="06936FD0"/>
    <w:rsid w:val="07184100"/>
    <w:rsid w:val="074F370E"/>
    <w:rsid w:val="087854BB"/>
    <w:rsid w:val="08AB4A00"/>
    <w:rsid w:val="08B33959"/>
    <w:rsid w:val="09563D2D"/>
    <w:rsid w:val="0A83273F"/>
    <w:rsid w:val="0B9A4DDA"/>
    <w:rsid w:val="0C155D7B"/>
    <w:rsid w:val="0DB94F5C"/>
    <w:rsid w:val="0E307619"/>
    <w:rsid w:val="0E6508AF"/>
    <w:rsid w:val="0FC5762B"/>
    <w:rsid w:val="0FED54FB"/>
    <w:rsid w:val="10150A56"/>
    <w:rsid w:val="10C3255D"/>
    <w:rsid w:val="11616381"/>
    <w:rsid w:val="129E12B3"/>
    <w:rsid w:val="12BE57EF"/>
    <w:rsid w:val="12C243C3"/>
    <w:rsid w:val="1308075A"/>
    <w:rsid w:val="132F1E2E"/>
    <w:rsid w:val="135F4389"/>
    <w:rsid w:val="153C286C"/>
    <w:rsid w:val="15495E93"/>
    <w:rsid w:val="157D325B"/>
    <w:rsid w:val="17563E82"/>
    <w:rsid w:val="1770359D"/>
    <w:rsid w:val="17DB4E57"/>
    <w:rsid w:val="18364417"/>
    <w:rsid w:val="18D62643"/>
    <w:rsid w:val="18F356AC"/>
    <w:rsid w:val="19B91D7F"/>
    <w:rsid w:val="1A907314"/>
    <w:rsid w:val="1AC25FC0"/>
    <w:rsid w:val="1B273640"/>
    <w:rsid w:val="1BBF1850"/>
    <w:rsid w:val="1C7F6EE0"/>
    <w:rsid w:val="1CA421A0"/>
    <w:rsid w:val="1D2938A7"/>
    <w:rsid w:val="1D664F0E"/>
    <w:rsid w:val="1D924618"/>
    <w:rsid w:val="1E3D18A3"/>
    <w:rsid w:val="1E876FC3"/>
    <w:rsid w:val="1EB136B9"/>
    <w:rsid w:val="1F8802AC"/>
    <w:rsid w:val="200E6461"/>
    <w:rsid w:val="208D1A4A"/>
    <w:rsid w:val="21646607"/>
    <w:rsid w:val="22002C12"/>
    <w:rsid w:val="22B83BEE"/>
    <w:rsid w:val="22E35047"/>
    <w:rsid w:val="23294841"/>
    <w:rsid w:val="23BB7507"/>
    <w:rsid w:val="249E0C8C"/>
    <w:rsid w:val="25317757"/>
    <w:rsid w:val="25701170"/>
    <w:rsid w:val="25A355FF"/>
    <w:rsid w:val="25B83ED2"/>
    <w:rsid w:val="25D616BE"/>
    <w:rsid w:val="25FB54D7"/>
    <w:rsid w:val="26357108"/>
    <w:rsid w:val="26826FEE"/>
    <w:rsid w:val="26830B71"/>
    <w:rsid w:val="2764282D"/>
    <w:rsid w:val="289C5398"/>
    <w:rsid w:val="29072204"/>
    <w:rsid w:val="2976035F"/>
    <w:rsid w:val="2A724D42"/>
    <w:rsid w:val="2AED03E7"/>
    <w:rsid w:val="2B496BC7"/>
    <w:rsid w:val="2BB96368"/>
    <w:rsid w:val="2C4D4467"/>
    <w:rsid w:val="2D684739"/>
    <w:rsid w:val="2DBC5930"/>
    <w:rsid w:val="2DEE48EE"/>
    <w:rsid w:val="2DEE59C3"/>
    <w:rsid w:val="2DFE31A4"/>
    <w:rsid w:val="2EF05516"/>
    <w:rsid w:val="2F7D6077"/>
    <w:rsid w:val="2FE73FD8"/>
    <w:rsid w:val="30A81992"/>
    <w:rsid w:val="30F235F0"/>
    <w:rsid w:val="320729D3"/>
    <w:rsid w:val="32D6779A"/>
    <w:rsid w:val="32EF46C6"/>
    <w:rsid w:val="33934BB3"/>
    <w:rsid w:val="33DA3D78"/>
    <w:rsid w:val="34237336"/>
    <w:rsid w:val="348576A9"/>
    <w:rsid w:val="351B241E"/>
    <w:rsid w:val="356B4AF0"/>
    <w:rsid w:val="35BE10C4"/>
    <w:rsid w:val="36B42CF4"/>
    <w:rsid w:val="37BE0F24"/>
    <w:rsid w:val="38C06F01"/>
    <w:rsid w:val="39733963"/>
    <w:rsid w:val="3A65487A"/>
    <w:rsid w:val="3A8E1BD7"/>
    <w:rsid w:val="3CAB016D"/>
    <w:rsid w:val="3D0F5155"/>
    <w:rsid w:val="3D323D66"/>
    <w:rsid w:val="3E5E3FF8"/>
    <w:rsid w:val="3E9F5E54"/>
    <w:rsid w:val="40DB0AEF"/>
    <w:rsid w:val="416342F4"/>
    <w:rsid w:val="41977967"/>
    <w:rsid w:val="41C10754"/>
    <w:rsid w:val="436844EA"/>
    <w:rsid w:val="43C26718"/>
    <w:rsid w:val="43F6017E"/>
    <w:rsid w:val="44177745"/>
    <w:rsid w:val="445E0D04"/>
    <w:rsid w:val="44CE6E4A"/>
    <w:rsid w:val="44FF34A7"/>
    <w:rsid w:val="45163466"/>
    <w:rsid w:val="46611BB8"/>
    <w:rsid w:val="478B7D6C"/>
    <w:rsid w:val="47925F0D"/>
    <w:rsid w:val="48E7672C"/>
    <w:rsid w:val="490D7DE5"/>
    <w:rsid w:val="49FA0F96"/>
    <w:rsid w:val="4B2C48CA"/>
    <w:rsid w:val="4B463CC4"/>
    <w:rsid w:val="4BE30B37"/>
    <w:rsid w:val="4CC07A8C"/>
    <w:rsid w:val="4D3F1039"/>
    <w:rsid w:val="4D626892"/>
    <w:rsid w:val="4E8C5D65"/>
    <w:rsid w:val="4EBD3414"/>
    <w:rsid w:val="4F0346E0"/>
    <w:rsid w:val="50B67110"/>
    <w:rsid w:val="50CF5102"/>
    <w:rsid w:val="513F19E0"/>
    <w:rsid w:val="51646B6C"/>
    <w:rsid w:val="51F63592"/>
    <w:rsid w:val="521A722A"/>
    <w:rsid w:val="52FF650D"/>
    <w:rsid w:val="53256836"/>
    <w:rsid w:val="54B1250E"/>
    <w:rsid w:val="54D542B8"/>
    <w:rsid w:val="56133344"/>
    <w:rsid w:val="57B32566"/>
    <w:rsid w:val="581A4428"/>
    <w:rsid w:val="5C547370"/>
    <w:rsid w:val="5D9734A9"/>
    <w:rsid w:val="5DCD2BFE"/>
    <w:rsid w:val="5DE15550"/>
    <w:rsid w:val="5E5732CD"/>
    <w:rsid w:val="5EF17565"/>
    <w:rsid w:val="605A3412"/>
    <w:rsid w:val="61DD4431"/>
    <w:rsid w:val="635C4A9D"/>
    <w:rsid w:val="63D15CB2"/>
    <w:rsid w:val="649733E0"/>
    <w:rsid w:val="65554CF2"/>
    <w:rsid w:val="658C4A64"/>
    <w:rsid w:val="65B42EAD"/>
    <w:rsid w:val="66991DDD"/>
    <w:rsid w:val="66C368EC"/>
    <w:rsid w:val="66E32555"/>
    <w:rsid w:val="676C0B30"/>
    <w:rsid w:val="67871AEB"/>
    <w:rsid w:val="6869321B"/>
    <w:rsid w:val="691055F9"/>
    <w:rsid w:val="693B292E"/>
    <w:rsid w:val="69F33B09"/>
    <w:rsid w:val="6B3A2F6A"/>
    <w:rsid w:val="6D2745DE"/>
    <w:rsid w:val="6E805A20"/>
    <w:rsid w:val="6F1A7015"/>
    <w:rsid w:val="6FED4E3E"/>
    <w:rsid w:val="705826DF"/>
    <w:rsid w:val="72C708B1"/>
    <w:rsid w:val="736A3563"/>
    <w:rsid w:val="73BD1759"/>
    <w:rsid w:val="74116101"/>
    <w:rsid w:val="747E5DF9"/>
    <w:rsid w:val="748E296B"/>
    <w:rsid w:val="75EF2DEF"/>
    <w:rsid w:val="75F54428"/>
    <w:rsid w:val="76437FD5"/>
    <w:rsid w:val="767B665E"/>
    <w:rsid w:val="769177C5"/>
    <w:rsid w:val="76BB049C"/>
    <w:rsid w:val="77BE11C0"/>
    <w:rsid w:val="77EE0202"/>
    <w:rsid w:val="78985D43"/>
    <w:rsid w:val="78A74AFF"/>
    <w:rsid w:val="78DD5FED"/>
    <w:rsid w:val="7AE108DD"/>
    <w:rsid w:val="7AF63020"/>
    <w:rsid w:val="7AF63E96"/>
    <w:rsid w:val="7B113251"/>
    <w:rsid w:val="7B393CE7"/>
    <w:rsid w:val="7B587171"/>
    <w:rsid w:val="7BDF36B6"/>
    <w:rsid w:val="7CC111D6"/>
    <w:rsid w:val="7DE208F8"/>
    <w:rsid w:val="7E26696A"/>
    <w:rsid w:val="7E957C9F"/>
    <w:rsid w:val="7EB919F5"/>
    <w:rsid w:val="7F091AFB"/>
    <w:rsid w:val="7F116BFC"/>
    <w:rsid w:val="7F96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2">
    <w:name w:val="heading 1"/>
    <w:basedOn w:val="1"/>
    <w:next w:val="1"/>
    <w:link w:val="77"/>
    <w:qFormat/>
    <w:uiPriority w:val="9"/>
    <w:pPr>
      <w:adjustRightInd w:val="0"/>
      <w:jc w:val="center"/>
      <w:outlineLvl w:val="0"/>
    </w:pPr>
    <w:rPr>
      <w:b/>
      <w:bCs/>
      <w:sz w:val="30"/>
      <w:szCs w:val="36"/>
    </w:rPr>
  </w:style>
  <w:style w:type="paragraph" w:styleId="3">
    <w:name w:val="heading 2"/>
    <w:basedOn w:val="1"/>
    <w:next w:val="4"/>
    <w:link w:val="78"/>
    <w:qFormat/>
    <w:uiPriority w:val="9"/>
    <w:pPr>
      <w:spacing w:before="54"/>
      <w:jc w:val="center"/>
      <w:outlineLvl w:val="1"/>
    </w:pPr>
    <w:rPr>
      <w:b/>
      <w:bCs/>
      <w:sz w:val="32"/>
      <w:szCs w:val="32"/>
    </w:rPr>
  </w:style>
  <w:style w:type="paragraph" w:styleId="7">
    <w:name w:val="heading 3"/>
    <w:basedOn w:val="1"/>
    <w:next w:val="1"/>
    <w:link w:val="79"/>
    <w:unhideWhenUsed/>
    <w:qFormat/>
    <w:uiPriority w:val="0"/>
    <w:pPr>
      <w:keepNext/>
      <w:keepLines/>
      <w:outlineLvl w:val="2"/>
    </w:pPr>
    <w:rPr>
      <w:b/>
      <w:bCs/>
      <w:sz w:val="28"/>
      <w:szCs w:val="32"/>
    </w:rPr>
  </w:style>
  <w:style w:type="paragraph" w:styleId="8">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9">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0">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1">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2">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3">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4">
    <w:name w:val="Body Text First Indent"/>
    <w:basedOn w:val="5"/>
    <w:qFormat/>
    <w:uiPriority w:val="0"/>
    <w:pPr>
      <w:spacing w:line="312" w:lineRule="auto"/>
      <w:ind w:firstLine="420"/>
    </w:pPr>
    <w:rPr>
      <w:rFonts w:ascii="Times New Roman" w:hAnsi="Times New Roman"/>
      <w:szCs w:val="24"/>
    </w:rPr>
  </w:style>
  <w:style w:type="paragraph" w:styleId="5">
    <w:name w:val="Body Text"/>
    <w:basedOn w:val="1"/>
    <w:next w:val="6"/>
    <w:link w:val="86"/>
    <w:qFormat/>
    <w:uiPriority w:val="99"/>
    <w:rPr>
      <w:szCs w:val="24"/>
    </w:rPr>
  </w:style>
  <w:style w:type="paragraph" w:customStyle="1" w:styleId="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4">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5">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6">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17">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18">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19">
    <w:name w:val="annotation text"/>
    <w:basedOn w:val="1"/>
    <w:link w:val="89"/>
    <w:unhideWhenUsed/>
    <w:qFormat/>
    <w:uiPriority w:val="0"/>
    <w:pPr>
      <w:snapToGrid/>
      <w:spacing w:line="240" w:lineRule="auto"/>
    </w:pPr>
    <w:rPr>
      <w:sz w:val="22"/>
    </w:rPr>
  </w:style>
  <w:style w:type="paragraph" w:styleId="20">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1">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2">
    <w:name w:val="Body Text Indent"/>
    <w:basedOn w:val="1"/>
    <w:next w:val="23"/>
    <w:link w:val="152"/>
    <w:unhideWhenUsed/>
    <w:qFormat/>
    <w:uiPriority w:val="99"/>
    <w:pPr>
      <w:spacing w:after="120"/>
      <w:ind w:left="420" w:leftChars="200"/>
    </w:pPr>
  </w:style>
  <w:style w:type="paragraph" w:styleId="23">
    <w:name w:val="envelope return"/>
    <w:basedOn w:val="1"/>
    <w:qFormat/>
    <w:uiPriority w:val="0"/>
    <w:pPr>
      <w:autoSpaceDE/>
      <w:autoSpaceDN/>
      <w:spacing w:line="240" w:lineRule="auto"/>
      <w:jc w:val="both"/>
    </w:pPr>
    <w:rPr>
      <w:rFonts w:ascii="Arial" w:hAnsi="Arial" w:cs="Times New Roman"/>
      <w:szCs w:val="20"/>
    </w:rPr>
  </w:style>
  <w:style w:type="paragraph" w:styleId="24">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5">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6">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7">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8">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29">
    <w:name w:val="toc 3"/>
    <w:basedOn w:val="1"/>
    <w:next w:val="1"/>
    <w:unhideWhenUsed/>
    <w:qFormat/>
    <w:uiPriority w:val="39"/>
    <w:pPr>
      <w:ind w:left="840" w:leftChars="400"/>
    </w:pPr>
  </w:style>
  <w:style w:type="paragraph" w:styleId="30">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1">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2">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3">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4">
    <w:name w:val="Balloon Text"/>
    <w:basedOn w:val="1"/>
    <w:link w:val="90"/>
    <w:unhideWhenUsed/>
    <w:qFormat/>
    <w:uiPriority w:val="0"/>
    <w:pPr>
      <w:spacing w:line="240" w:lineRule="auto"/>
    </w:pPr>
    <w:rPr>
      <w:sz w:val="18"/>
      <w:szCs w:val="18"/>
    </w:rPr>
  </w:style>
  <w:style w:type="paragraph" w:styleId="35">
    <w:name w:val="footer"/>
    <w:basedOn w:val="1"/>
    <w:link w:val="393"/>
    <w:unhideWhenUsed/>
    <w:qFormat/>
    <w:uiPriority w:val="0"/>
    <w:pPr>
      <w:tabs>
        <w:tab w:val="center" w:pos="4153"/>
        <w:tab w:val="right" w:pos="8306"/>
      </w:tabs>
    </w:pPr>
    <w:rPr>
      <w:sz w:val="18"/>
      <w:szCs w:val="18"/>
    </w:rPr>
  </w:style>
  <w:style w:type="paragraph" w:styleId="36">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7">
    <w:name w:val="toc 1"/>
    <w:basedOn w:val="1"/>
    <w:next w:val="1"/>
    <w:unhideWhenUsed/>
    <w:qFormat/>
    <w:uiPriority w:val="39"/>
  </w:style>
  <w:style w:type="paragraph" w:styleId="38">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39">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0">
    <w:name w:val="index heading"/>
    <w:basedOn w:val="1"/>
    <w:next w:val="41"/>
    <w:qFormat/>
    <w:uiPriority w:val="0"/>
    <w:pPr>
      <w:autoSpaceDE/>
      <w:autoSpaceDN/>
      <w:snapToGrid/>
      <w:spacing w:line="240" w:lineRule="auto"/>
      <w:jc w:val="both"/>
    </w:pPr>
    <w:rPr>
      <w:rFonts w:hAnsi="Times New Roman" w:cs="Times New Roman"/>
      <w:szCs w:val="20"/>
    </w:rPr>
  </w:style>
  <w:style w:type="paragraph" w:styleId="41">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2">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3">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4">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5">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6">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7">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8">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49">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0">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1">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2">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3">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4">
    <w:name w:val="Title"/>
    <w:basedOn w:val="1"/>
    <w:link w:val="87"/>
    <w:qFormat/>
    <w:uiPriority w:val="1"/>
    <w:pPr>
      <w:ind w:left="718"/>
    </w:pPr>
    <w:rPr>
      <w:b/>
      <w:bCs/>
      <w:sz w:val="84"/>
      <w:szCs w:val="84"/>
    </w:rPr>
  </w:style>
  <w:style w:type="paragraph" w:styleId="55">
    <w:name w:val="annotation subject"/>
    <w:basedOn w:val="19"/>
    <w:next w:val="19"/>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paragraph" w:styleId="56">
    <w:name w:val="Body Text First Indent 2"/>
    <w:basedOn w:val="22"/>
    <w:next w:val="1"/>
    <w:link w:val="157"/>
    <w:qFormat/>
    <w:uiPriority w:val="0"/>
    <w:pPr>
      <w:ind w:firstLine="200" w:firstLineChars="200"/>
    </w:p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6"/>
    <w:qFormat/>
    <w:uiPriority w:val="0"/>
    <w:rPr>
      <w:sz w:val="18"/>
      <w:szCs w:val="18"/>
    </w:rPr>
  </w:style>
  <w:style w:type="character" w:customStyle="1" w:styleId="76">
    <w:name w:val="页脚 字符"/>
    <w:basedOn w:val="59"/>
    <w:link w:val="35"/>
    <w:qFormat/>
    <w:uiPriority w:val="0"/>
    <w:rPr>
      <w:sz w:val="18"/>
      <w:szCs w:val="18"/>
    </w:rPr>
  </w:style>
  <w:style w:type="character" w:customStyle="1" w:styleId="77">
    <w:name w:val="标题 1 字符"/>
    <w:basedOn w:val="59"/>
    <w:link w:val="2"/>
    <w:qFormat/>
    <w:uiPriority w:val="9"/>
    <w:rPr>
      <w:rFonts w:ascii="宋体" w:hAnsi="宋体" w:eastAsia="宋体" w:cs="宋体"/>
      <w:b/>
      <w:bCs/>
      <w:kern w:val="0"/>
      <w:sz w:val="30"/>
      <w:szCs w:val="36"/>
    </w:rPr>
  </w:style>
  <w:style w:type="character" w:customStyle="1" w:styleId="78">
    <w:name w:val="标题 2 字符"/>
    <w:basedOn w:val="59"/>
    <w:link w:val="3"/>
    <w:qFormat/>
    <w:uiPriority w:val="9"/>
    <w:rPr>
      <w:rFonts w:ascii="宋体" w:hAnsi="宋体" w:eastAsia="宋体" w:cs="宋体"/>
      <w:b/>
      <w:bCs/>
      <w:kern w:val="0"/>
      <w:sz w:val="32"/>
      <w:szCs w:val="32"/>
    </w:rPr>
  </w:style>
  <w:style w:type="character" w:customStyle="1" w:styleId="79">
    <w:name w:val="标题 3 字符"/>
    <w:basedOn w:val="59"/>
    <w:link w:val="7"/>
    <w:qFormat/>
    <w:uiPriority w:val="0"/>
    <w:rPr>
      <w:rFonts w:ascii="宋体" w:hAnsi="宋体" w:eastAsia="宋体" w:cs="宋体"/>
      <w:b/>
      <w:bCs/>
      <w:kern w:val="0"/>
      <w:sz w:val="28"/>
      <w:szCs w:val="32"/>
    </w:rPr>
  </w:style>
  <w:style w:type="character" w:customStyle="1" w:styleId="80">
    <w:name w:val="标题 4 字符"/>
    <w:basedOn w:val="59"/>
    <w:link w:val="8"/>
    <w:qFormat/>
    <w:uiPriority w:val="9"/>
    <w:rPr>
      <w:rFonts w:ascii="Arial" w:hAnsi="Arial" w:eastAsia="宋体" w:cs="Times New Roman"/>
      <w:sz w:val="28"/>
    </w:rPr>
  </w:style>
  <w:style w:type="character" w:customStyle="1" w:styleId="81">
    <w:name w:val="标题 5 字符"/>
    <w:basedOn w:val="59"/>
    <w:link w:val="9"/>
    <w:qFormat/>
    <w:uiPriority w:val="0"/>
    <w:rPr>
      <w:rFonts w:ascii="宋体" w:hAnsi="宋体" w:eastAsia="宋体" w:cs="Times New Roman"/>
      <w:b/>
      <w:bCs/>
      <w:kern w:val="0"/>
      <w:sz w:val="28"/>
      <w:szCs w:val="28"/>
    </w:rPr>
  </w:style>
  <w:style w:type="character" w:customStyle="1" w:styleId="82">
    <w:name w:val="标题 6 字符"/>
    <w:basedOn w:val="59"/>
    <w:link w:val="10"/>
    <w:qFormat/>
    <w:uiPriority w:val="0"/>
    <w:rPr>
      <w:rFonts w:ascii="Calibri Light" w:hAnsi="Calibri Light" w:eastAsia="宋体" w:cs="Times New Roman"/>
      <w:b/>
      <w:bCs/>
      <w:kern w:val="0"/>
      <w:sz w:val="24"/>
      <w:szCs w:val="20"/>
    </w:rPr>
  </w:style>
  <w:style w:type="character" w:customStyle="1" w:styleId="83">
    <w:name w:val="标题 7 字符"/>
    <w:basedOn w:val="59"/>
    <w:link w:val="11"/>
    <w:qFormat/>
    <w:uiPriority w:val="0"/>
    <w:rPr>
      <w:rFonts w:ascii="CG Times" w:hAnsi="CG Times" w:eastAsia="宋体" w:cs="Times New Roman"/>
      <w:kern w:val="0"/>
      <w:sz w:val="22"/>
      <w:szCs w:val="20"/>
      <w:lang w:val="en-GB"/>
    </w:rPr>
  </w:style>
  <w:style w:type="character" w:customStyle="1" w:styleId="84">
    <w:name w:val="标题 8 字符"/>
    <w:basedOn w:val="59"/>
    <w:link w:val="12"/>
    <w:qFormat/>
    <w:uiPriority w:val="0"/>
    <w:rPr>
      <w:rFonts w:ascii="CG Times" w:hAnsi="CG Times" w:eastAsia="宋体" w:cs="Times New Roman"/>
      <w:kern w:val="0"/>
      <w:sz w:val="22"/>
      <w:szCs w:val="20"/>
      <w:lang w:val="en-GB"/>
    </w:rPr>
  </w:style>
  <w:style w:type="character" w:customStyle="1" w:styleId="85">
    <w:name w:val="标题 9 字符"/>
    <w:basedOn w:val="59"/>
    <w:link w:val="13"/>
    <w:qFormat/>
    <w:uiPriority w:val="0"/>
    <w:rPr>
      <w:rFonts w:ascii="CG Times" w:hAnsi="CG Times" w:eastAsia="宋体" w:cs="Times New Roman"/>
      <w:b/>
      <w:smallCaps/>
      <w:kern w:val="0"/>
      <w:szCs w:val="20"/>
      <w:lang w:val="en-GB"/>
    </w:rPr>
  </w:style>
  <w:style w:type="character" w:customStyle="1" w:styleId="86">
    <w:name w:val="正文文本 字符"/>
    <w:basedOn w:val="59"/>
    <w:link w:val="5"/>
    <w:qFormat/>
    <w:uiPriority w:val="99"/>
    <w:rPr>
      <w:rFonts w:ascii="宋体" w:hAnsi="宋体" w:eastAsia="宋体" w:cs="宋体"/>
      <w:kern w:val="0"/>
      <w:sz w:val="24"/>
      <w:szCs w:val="24"/>
    </w:rPr>
  </w:style>
  <w:style w:type="character" w:customStyle="1" w:styleId="87">
    <w:name w:val="标题 字符"/>
    <w:basedOn w:val="59"/>
    <w:link w:val="54"/>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19"/>
    <w:qFormat/>
    <w:uiPriority w:val="0"/>
    <w:rPr>
      <w:rFonts w:ascii="宋体" w:hAnsi="宋体" w:eastAsia="宋体" w:cs="宋体"/>
      <w:kern w:val="0"/>
      <w:sz w:val="22"/>
    </w:rPr>
  </w:style>
  <w:style w:type="character" w:customStyle="1" w:styleId="90">
    <w:name w:val="批注框文本 字符"/>
    <w:basedOn w:val="59"/>
    <w:link w:val="34"/>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2"/>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3"/>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18"/>
    <w:qFormat/>
    <w:uiPriority w:val="99"/>
    <w:rPr>
      <w:rFonts w:ascii="宋体" w:hAnsi="Calibri" w:cs="Times New Roman"/>
      <w:sz w:val="24"/>
      <w:szCs w:val="24"/>
    </w:rPr>
  </w:style>
  <w:style w:type="character" w:customStyle="1" w:styleId="98">
    <w:name w:val="纯文本 字符"/>
    <w:link w:val="30"/>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2"/>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2"/>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5"/>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49"/>
    <w:qFormat/>
    <w:uiPriority w:val="99"/>
    <w:rPr>
      <w:rFonts w:ascii="Calibri" w:hAnsi="Calibri" w:eastAsia="宋体" w:cs="Times New Roman"/>
      <w:sz w:val="24"/>
    </w:rPr>
  </w:style>
  <w:style w:type="character" w:customStyle="1" w:styleId="111">
    <w:name w:val="日期 字符"/>
    <w:basedOn w:val="59"/>
    <w:link w:val="32"/>
    <w:qFormat/>
    <w:uiPriority w:val="0"/>
  </w:style>
  <w:style w:type="character" w:customStyle="1" w:styleId="112">
    <w:name w:val="search-in-page-highlight-wrapper"/>
    <w:basedOn w:val="59"/>
    <w:qFormat/>
    <w:uiPriority w:val="0"/>
  </w:style>
  <w:style w:type="character" w:customStyle="1" w:styleId="113">
    <w:name w:val="正文文本 3 字符"/>
    <w:link w:val="21"/>
    <w:qFormat/>
    <w:uiPriority w:val="99"/>
    <w:rPr>
      <w:rFonts w:ascii="Calibri" w:hAnsi="Calibri" w:eastAsia="宋体" w:cs="Times New Roman"/>
      <w:sz w:val="16"/>
      <w:szCs w:val="16"/>
    </w:rPr>
  </w:style>
  <w:style w:type="character" w:customStyle="1" w:styleId="114">
    <w:name w:val="HTML 预设格式 字符"/>
    <w:link w:val="52"/>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3"/>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2"/>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3"/>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5"/>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8"/>
    <w:next w:val="1"/>
    <w:qFormat/>
    <w:uiPriority w:val="0"/>
    <w:pPr>
      <w:numPr>
        <w:ilvl w:val="2"/>
        <w:numId w:val="6"/>
      </w:numPr>
    </w:pPr>
  </w:style>
  <w:style w:type="paragraph" w:customStyle="1" w:styleId="136">
    <w:name w:val="LIST ALPHA CAPS 2"/>
    <w:basedOn w:val="1"/>
    <w:next w:val="49"/>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7"/>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1"/>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3"/>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22"/>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56"/>
    <w:qFormat/>
    <w:uiPriority w:val="0"/>
    <w:rPr>
      <w:rFonts w:ascii="宋体" w:hAnsi="宋体" w:eastAsia="宋体" w:cs="宋体"/>
      <w:kern w:val="0"/>
      <w:sz w:val="24"/>
      <w:szCs w:val="22"/>
    </w:rPr>
  </w:style>
  <w:style w:type="character" w:customStyle="1" w:styleId="158">
    <w:name w:val="称呼 字符"/>
    <w:basedOn w:val="59"/>
    <w:link w:val="20"/>
    <w:qFormat/>
    <w:uiPriority w:val="0"/>
    <w:rPr>
      <w:rFonts w:ascii="仿宋_GB2312" w:eastAsia="仿宋_GB2312"/>
      <w:sz w:val="28"/>
    </w:rPr>
  </w:style>
  <w:style w:type="character" w:customStyle="1" w:styleId="159">
    <w:name w:val="正文文本缩进 2 字符"/>
    <w:basedOn w:val="59"/>
    <w:link w:val="33"/>
    <w:qFormat/>
    <w:uiPriority w:val="0"/>
    <w:rPr>
      <w:rFonts w:ascii="宋体" w:hAnsi="Microsoft Sans Serif"/>
      <w:bCs/>
      <w:spacing w:val="12"/>
      <w:sz w:val="24"/>
    </w:rPr>
  </w:style>
  <w:style w:type="character" w:customStyle="1" w:styleId="160">
    <w:name w:val="脚注文本 字符"/>
    <w:basedOn w:val="59"/>
    <w:link w:val="44"/>
    <w:qFormat/>
    <w:uiPriority w:val="0"/>
    <w:rPr>
      <w:rFonts w:ascii="宋体"/>
      <w:sz w:val="18"/>
      <w:szCs w:val="18"/>
    </w:rPr>
  </w:style>
  <w:style w:type="character" w:customStyle="1" w:styleId="161">
    <w:name w:val="正文文本缩进 3 字符"/>
    <w:basedOn w:val="59"/>
    <w:link w:val="46"/>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3"/>
    <w:next w:val="27"/>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7"/>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7"/>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3"/>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0"/>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2"/>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6"/>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5"/>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93</Pages>
  <Words>25455</Words>
  <Characters>26829</Characters>
  <Lines>489</Lines>
  <Paragraphs>137</Paragraphs>
  <TotalTime>5</TotalTime>
  <ScaleCrop>false</ScaleCrop>
  <LinksUpToDate>false</LinksUpToDate>
  <CharactersWithSpaces>27312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凡人的智慧</cp:lastModifiedBy>
  <cp:lastPrinted>2024-11-12T05:36:00Z</cp:lastPrinted>
  <dcterms:modified xsi:type="dcterms:W3CDTF">2025-06-06T08:46:09Z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FBE28522A2014E27BF42ED1734268B53_13</vt:lpwstr>
  </property>
  <property fmtid="{D5CDD505-2E9C-101B-9397-08002B2CF9AE}" pid="4" name="KSOTemplateDocerSaveRecord">
    <vt:lpwstr>eyJoZGlkIjoiYjE0NDhjMzhmOTY3NDViNjU5ZDQyYmZiNDM5YWYzZGMiLCJ1c2VySWQiOiIzNjg3NjY3OTQifQ==</vt:lpwstr>
  </property>
</Properties>
</file>