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6FD8D">
      <w:pPr>
        <w:adjustRightInd w:val="0"/>
        <w:snapToGrid w:val="0"/>
        <w:spacing w:line="360" w:lineRule="auto"/>
        <w:ind w:firstLine="437"/>
        <w:jc w:val="center"/>
        <w:rPr>
          <w:rFonts w:hAnsi="宋体" w:cs="宋体"/>
          <w:color w:val="auto"/>
          <w:sz w:val="36"/>
          <w:szCs w:val="36"/>
          <w:highlight w:val="none"/>
        </w:rPr>
      </w:pPr>
    </w:p>
    <w:p w14:paraId="6CA6A2A0">
      <w:pPr>
        <w:adjustRightInd w:val="0"/>
        <w:snapToGrid w:val="0"/>
        <w:spacing w:line="360" w:lineRule="auto"/>
        <w:jc w:val="center"/>
        <w:rPr>
          <w:rFonts w:hint="eastAsia" w:hAnsi="宋体" w:eastAsia="宋体" w:cs="宋体"/>
          <w:b/>
          <w:bCs/>
          <w:color w:val="auto"/>
          <w:sz w:val="36"/>
          <w:szCs w:val="36"/>
          <w:highlight w:val="none"/>
          <w:lang w:eastAsia="zh-CN"/>
        </w:rPr>
      </w:pPr>
      <w:r>
        <w:rPr>
          <w:rFonts w:hint="eastAsia" w:hAnsi="宋体" w:cs="宋体"/>
          <w:b/>
          <w:bCs/>
          <w:color w:val="auto"/>
          <w:sz w:val="36"/>
          <w:szCs w:val="36"/>
          <w:highlight w:val="none"/>
          <w:lang w:eastAsia="zh-CN"/>
        </w:rPr>
        <w:t>铜陵市郊区城镇污水处理设施提质增效工程污水管网CCTV检测项目</w:t>
      </w:r>
    </w:p>
    <w:p w14:paraId="00F38545">
      <w:pPr>
        <w:adjustRightInd w:val="0"/>
        <w:snapToGrid w:val="0"/>
        <w:spacing w:line="360" w:lineRule="auto"/>
        <w:jc w:val="center"/>
        <w:rPr>
          <w:rFonts w:hAnsi="宋体" w:cs="宋体"/>
          <w:b/>
          <w:bCs/>
          <w:color w:val="auto"/>
          <w:sz w:val="72"/>
          <w:szCs w:val="72"/>
          <w:highlight w:val="none"/>
        </w:rPr>
      </w:pPr>
    </w:p>
    <w:p w14:paraId="51EFF157">
      <w:pPr>
        <w:adjustRightInd w:val="0"/>
        <w:snapToGrid w:val="0"/>
        <w:spacing w:line="360" w:lineRule="auto"/>
        <w:jc w:val="center"/>
        <w:rPr>
          <w:rFonts w:hAnsi="宋体" w:cs="宋体"/>
          <w:b/>
          <w:bCs/>
          <w:color w:val="auto"/>
          <w:sz w:val="72"/>
          <w:szCs w:val="72"/>
          <w:highlight w:val="none"/>
        </w:rPr>
      </w:pPr>
    </w:p>
    <w:p w14:paraId="33C5289F">
      <w:pPr>
        <w:adjustRightInd w:val="0"/>
        <w:snapToGrid w:val="0"/>
        <w:spacing w:line="360" w:lineRule="auto"/>
        <w:jc w:val="center"/>
        <w:rPr>
          <w:rFonts w:hAnsi="宋体" w:cs="宋体"/>
          <w:b/>
          <w:bCs/>
          <w:color w:val="auto"/>
          <w:sz w:val="72"/>
          <w:szCs w:val="72"/>
          <w:highlight w:val="none"/>
        </w:rPr>
      </w:pPr>
      <w:r>
        <w:rPr>
          <w:rFonts w:hint="eastAsia" w:hAnsi="宋体" w:cs="宋体"/>
          <w:b/>
          <w:bCs/>
          <w:color w:val="auto"/>
          <w:sz w:val="72"/>
          <w:szCs w:val="72"/>
          <w:highlight w:val="none"/>
        </w:rPr>
        <w:t>招 标 文 件</w:t>
      </w:r>
    </w:p>
    <w:p w14:paraId="42F81D39">
      <w:pPr>
        <w:adjustRightInd w:val="0"/>
        <w:snapToGrid w:val="0"/>
        <w:spacing w:line="480" w:lineRule="auto"/>
        <w:ind w:firstLine="640" w:firstLineChars="200"/>
        <w:jc w:val="center"/>
        <w:rPr>
          <w:rFonts w:hint="eastAsia" w:hAnsi="宋体" w:cs="宋体"/>
          <w:bCs/>
          <w:color w:val="auto"/>
          <w:sz w:val="32"/>
          <w:szCs w:val="32"/>
          <w:highlight w:val="none"/>
          <w:u w:val="none"/>
          <w:lang w:eastAsia="zh-CN"/>
        </w:rPr>
      </w:pPr>
      <w:r>
        <w:rPr>
          <w:rFonts w:hint="eastAsia" w:hAnsi="宋体" w:cs="宋体"/>
          <w:bCs/>
          <w:color w:val="auto"/>
          <w:sz w:val="32"/>
          <w:szCs w:val="32"/>
          <w:highlight w:val="none"/>
          <w:u w:val="none"/>
          <w:lang w:eastAsia="zh-CN"/>
        </w:rPr>
        <w:t>招标项目编号：AHTJZB-2025012</w:t>
      </w:r>
    </w:p>
    <w:p w14:paraId="568D309C">
      <w:pPr>
        <w:jc w:val="center"/>
        <w:rPr>
          <w:rFonts w:hAnsi="宋体" w:cs="宋体"/>
          <w:color w:val="auto"/>
          <w:sz w:val="72"/>
          <w:szCs w:val="72"/>
          <w:highlight w:val="none"/>
        </w:rPr>
      </w:pPr>
    </w:p>
    <w:p w14:paraId="31C8C46E">
      <w:pPr>
        <w:spacing w:line="540" w:lineRule="exact"/>
        <w:ind w:firstLine="437"/>
        <w:rPr>
          <w:rFonts w:hAnsi="宋体" w:cs="宋体"/>
          <w:color w:val="auto"/>
          <w:szCs w:val="21"/>
          <w:highlight w:val="none"/>
        </w:rPr>
      </w:pPr>
    </w:p>
    <w:p w14:paraId="736D520C">
      <w:pPr>
        <w:spacing w:line="540" w:lineRule="exact"/>
        <w:ind w:firstLine="437"/>
        <w:rPr>
          <w:rFonts w:hAnsi="宋体" w:cs="宋体"/>
          <w:color w:val="auto"/>
          <w:szCs w:val="21"/>
          <w:highlight w:val="none"/>
        </w:rPr>
      </w:pPr>
    </w:p>
    <w:p w14:paraId="4BED9D96">
      <w:pPr>
        <w:spacing w:line="540" w:lineRule="exact"/>
        <w:ind w:firstLine="437"/>
        <w:rPr>
          <w:rFonts w:hAnsi="宋体" w:cs="宋体"/>
          <w:color w:val="auto"/>
          <w:szCs w:val="21"/>
          <w:highlight w:val="none"/>
        </w:rPr>
      </w:pPr>
    </w:p>
    <w:p w14:paraId="0C27DEDC">
      <w:pPr>
        <w:spacing w:line="540" w:lineRule="exact"/>
        <w:ind w:firstLine="437"/>
        <w:rPr>
          <w:rFonts w:hAnsi="宋体" w:cs="宋体"/>
          <w:color w:val="auto"/>
          <w:szCs w:val="21"/>
          <w:highlight w:val="none"/>
        </w:rPr>
      </w:pPr>
    </w:p>
    <w:p w14:paraId="5181DD2F">
      <w:pPr>
        <w:adjustRightInd w:val="0"/>
        <w:snapToGrid w:val="0"/>
        <w:spacing w:line="480" w:lineRule="auto"/>
        <w:ind w:firstLine="437"/>
        <w:rPr>
          <w:rFonts w:hAnsi="宋体" w:cs="宋体"/>
          <w:color w:val="auto"/>
          <w:szCs w:val="21"/>
          <w:highlight w:val="none"/>
        </w:rPr>
      </w:pPr>
    </w:p>
    <w:p w14:paraId="0FDCD659">
      <w:pPr>
        <w:adjustRightInd w:val="0"/>
        <w:snapToGrid w:val="0"/>
        <w:spacing w:line="480" w:lineRule="auto"/>
        <w:ind w:firstLine="1600" w:firstLineChars="500"/>
        <w:rPr>
          <w:rFonts w:hAnsi="宋体" w:cs="宋体"/>
          <w:color w:val="auto"/>
          <w:sz w:val="32"/>
          <w:szCs w:val="32"/>
          <w:highlight w:val="none"/>
        </w:rPr>
      </w:pPr>
      <w:r>
        <w:rPr>
          <w:rFonts w:hint="eastAsia" w:hAnsi="宋体" w:cs="宋体"/>
          <w:color w:val="auto"/>
          <w:sz w:val="32"/>
          <w:szCs w:val="32"/>
          <w:highlight w:val="none"/>
        </w:rPr>
        <w:t>招标人：</w:t>
      </w:r>
      <w:r>
        <w:rPr>
          <w:rFonts w:hint="eastAsia" w:hAnsi="宋体" w:cs="宋体"/>
          <w:bCs/>
          <w:color w:val="auto"/>
          <w:sz w:val="32"/>
          <w:szCs w:val="32"/>
          <w:highlight w:val="none"/>
          <w:u w:val="single"/>
          <w:lang w:eastAsia="zh-CN"/>
        </w:rPr>
        <w:t>铜陵金诚资产运营有限公司</w:t>
      </w:r>
      <w:r>
        <w:rPr>
          <w:rFonts w:hint="eastAsia" w:hAnsi="宋体" w:cs="宋体"/>
          <w:color w:val="auto"/>
          <w:sz w:val="32"/>
          <w:szCs w:val="32"/>
          <w:highlight w:val="none"/>
        </w:rPr>
        <w:t>（盖章）</w:t>
      </w:r>
    </w:p>
    <w:p w14:paraId="0721B7D2">
      <w:pPr>
        <w:adjustRightInd w:val="0"/>
        <w:snapToGrid w:val="0"/>
        <w:spacing w:line="480" w:lineRule="auto"/>
        <w:jc w:val="center"/>
        <w:rPr>
          <w:rFonts w:hAnsi="宋体" w:cs="宋体"/>
          <w:color w:val="auto"/>
          <w:sz w:val="32"/>
          <w:szCs w:val="32"/>
          <w:highlight w:val="none"/>
          <w:u w:val="single"/>
        </w:rPr>
      </w:pPr>
      <w:r>
        <w:rPr>
          <w:rFonts w:hint="eastAsia" w:hAnsi="宋体" w:cs="宋体"/>
          <w:color w:val="auto"/>
          <w:sz w:val="32"/>
          <w:szCs w:val="32"/>
          <w:highlight w:val="none"/>
        </w:rPr>
        <w:t>招标代理机构：</w:t>
      </w:r>
      <w:r>
        <w:rPr>
          <w:rFonts w:hint="eastAsia" w:hAnsi="宋体" w:cs="宋体"/>
          <w:bCs/>
          <w:color w:val="auto"/>
          <w:sz w:val="32"/>
          <w:szCs w:val="32"/>
          <w:highlight w:val="none"/>
          <w:u w:val="single"/>
          <w:lang w:eastAsia="zh-CN"/>
        </w:rPr>
        <w:t>安徽天玑项目管理有限公司</w:t>
      </w:r>
      <w:r>
        <w:rPr>
          <w:rFonts w:hint="eastAsia" w:hAnsi="宋体" w:cs="宋体"/>
          <w:color w:val="auto"/>
          <w:sz w:val="32"/>
          <w:szCs w:val="32"/>
          <w:highlight w:val="none"/>
        </w:rPr>
        <w:t>（盖章）</w:t>
      </w:r>
    </w:p>
    <w:p w14:paraId="21AA6A4A">
      <w:pPr>
        <w:adjustRightInd w:val="0"/>
        <w:snapToGrid w:val="0"/>
        <w:spacing w:line="360" w:lineRule="auto"/>
        <w:jc w:val="center"/>
        <w:rPr>
          <w:rFonts w:hAnsi="宋体" w:cs="宋体"/>
          <w:b/>
          <w:color w:val="auto"/>
          <w:sz w:val="52"/>
          <w:szCs w:val="52"/>
          <w:highlight w:val="none"/>
        </w:rPr>
      </w:pPr>
      <w:r>
        <w:rPr>
          <w:rFonts w:hint="eastAsia" w:hAnsi="宋体" w:cs="宋体"/>
          <w:color w:val="auto"/>
          <w:sz w:val="32"/>
          <w:szCs w:val="32"/>
          <w:highlight w:val="none"/>
          <w:u w:val="single"/>
          <w:lang w:eastAsia="zh-CN"/>
        </w:rPr>
        <w:t>2025</w:t>
      </w:r>
      <w:r>
        <w:rPr>
          <w:rFonts w:hint="eastAsia" w:hAnsi="宋体" w:cs="宋体"/>
          <w:color w:val="auto"/>
          <w:sz w:val="32"/>
          <w:szCs w:val="32"/>
          <w:highlight w:val="none"/>
        </w:rPr>
        <w:t>年</w:t>
      </w:r>
      <w:r>
        <w:rPr>
          <w:rFonts w:hint="eastAsia" w:hAnsi="宋体" w:cs="宋体"/>
          <w:color w:val="auto"/>
          <w:sz w:val="32"/>
          <w:szCs w:val="32"/>
          <w:highlight w:val="none"/>
          <w:u w:val="single"/>
          <w:lang w:val="en-US" w:eastAsia="zh-CN"/>
        </w:rPr>
        <w:t>4</w:t>
      </w:r>
      <w:r>
        <w:rPr>
          <w:rFonts w:hint="eastAsia" w:hAnsi="宋体" w:cs="宋体"/>
          <w:color w:val="auto"/>
          <w:sz w:val="32"/>
          <w:szCs w:val="32"/>
          <w:highlight w:val="none"/>
        </w:rPr>
        <w:t>月</w:t>
      </w:r>
      <w:r>
        <w:rPr>
          <w:rFonts w:hint="eastAsia" w:hAnsi="宋体" w:cs="宋体"/>
          <w:b/>
          <w:color w:val="auto"/>
          <w:sz w:val="52"/>
          <w:szCs w:val="52"/>
          <w:highlight w:val="none"/>
        </w:rPr>
        <w:br w:type="page"/>
      </w:r>
      <w:r>
        <w:rPr>
          <w:rFonts w:hint="eastAsia" w:hAnsi="宋体" w:cs="宋体"/>
          <w:b/>
          <w:color w:val="auto"/>
          <w:sz w:val="44"/>
          <w:szCs w:val="44"/>
          <w:highlight w:val="none"/>
        </w:rPr>
        <w:t>目  录</w:t>
      </w:r>
    </w:p>
    <w:p w14:paraId="7B7CFF11">
      <w:pPr>
        <w:pStyle w:val="35"/>
        <w:tabs>
          <w:tab w:val="right" w:leader="dot" w:pos="8870"/>
        </w:tabs>
        <w:spacing w:line="240" w:lineRule="auto"/>
        <w:rPr>
          <w:rFonts w:ascii="宋体" w:hAnsi="宋体" w:cs="宋体"/>
          <w:b w:val="0"/>
          <w:bCs w:val="0"/>
          <w:color w:val="auto"/>
          <w:kern w:val="2"/>
          <w:highlight w:val="none"/>
        </w:rPr>
      </w:pPr>
      <w:r>
        <w:rPr>
          <w:rFonts w:hint="eastAsia" w:ascii="宋体" w:hAnsi="宋体" w:cs="宋体"/>
          <w:b w:val="0"/>
          <w:bCs w:val="0"/>
          <w:color w:val="auto"/>
          <w:highlight w:val="none"/>
        </w:rPr>
        <w:fldChar w:fldCharType="begin"/>
      </w:r>
      <w:r>
        <w:rPr>
          <w:rFonts w:hint="eastAsia" w:ascii="宋体" w:hAnsi="宋体" w:cs="宋体"/>
          <w:b w:val="0"/>
          <w:bCs w:val="0"/>
          <w:color w:val="auto"/>
          <w:highlight w:val="none"/>
        </w:rPr>
        <w:instrText xml:space="preserve"> TOC \o "1-2" \h \z \u </w:instrText>
      </w:r>
      <w:r>
        <w:rPr>
          <w:rFonts w:hint="eastAsia" w:ascii="宋体" w:hAnsi="宋体" w:cs="宋体"/>
          <w:b w:val="0"/>
          <w:bCs w:val="0"/>
          <w:color w:val="auto"/>
          <w:highlight w:val="none"/>
        </w:rPr>
        <w:fldChar w:fldCharType="separate"/>
      </w:r>
      <w:r>
        <w:rPr>
          <w:color w:val="auto"/>
          <w:highlight w:val="none"/>
        </w:rPr>
        <w:fldChar w:fldCharType="begin"/>
      </w:r>
      <w:r>
        <w:rPr>
          <w:color w:val="auto"/>
          <w:highlight w:val="none"/>
        </w:rPr>
        <w:instrText xml:space="preserve"> HYPERLINK \l "_Toc126335753" </w:instrText>
      </w:r>
      <w:r>
        <w:rPr>
          <w:color w:val="auto"/>
          <w:highlight w:val="none"/>
        </w:rPr>
        <w:fldChar w:fldCharType="separate"/>
      </w:r>
      <w:r>
        <w:rPr>
          <w:rStyle w:val="65"/>
          <w:rFonts w:hint="eastAsia" w:ascii="宋体" w:hAnsi="宋体" w:cs="宋体"/>
          <w:color w:val="auto"/>
          <w:highlight w:val="none"/>
        </w:rPr>
        <w:t>第一章  招标公告</w:t>
      </w:r>
      <w:r>
        <w:rPr>
          <w:rStyle w:val="65"/>
          <w:rFonts w:hint="eastAsia" w:ascii="宋体" w:hAnsi="宋体" w:cs="宋体"/>
          <w:color w:val="auto"/>
          <w:highlight w:val="none"/>
        </w:rPr>
        <w:fldChar w:fldCharType="end"/>
      </w:r>
    </w:p>
    <w:p w14:paraId="3350F13F">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"_Toc126335754" </w:instrText>
      </w:r>
      <w:r>
        <w:rPr>
          <w:color w:val="auto"/>
          <w:highlight w:val="none"/>
        </w:rPr>
        <w:fldChar w:fldCharType="separate"/>
      </w:r>
      <w:r>
        <w:rPr>
          <w:rStyle w:val="65"/>
          <w:rFonts w:hint="eastAsia" w:ascii="宋体" w:hAnsi="宋体" w:cs="宋体"/>
          <w:b/>
          <w:bCs/>
          <w:color w:val="auto"/>
          <w:highlight w:val="none"/>
        </w:rPr>
        <w:t>1. 招标条件</w:t>
      </w:r>
      <w:r>
        <w:rPr>
          <w:rStyle w:val="65"/>
          <w:rFonts w:hint="eastAsia" w:ascii="宋体" w:hAnsi="宋体" w:cs="宋体"/>
          <w:b/>
          <w:bCs/>
          <w:color w:val="auto"/>
          <w:highlight w:val="none"/>
        </w:rPr>
        <w:fldChar w:fldCharType="end"/>
      </w:r>
    </w:p>
    <w:p w14:paraId="5C5B750A">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"_Toc126335755" </w:instrText>
      </w:r>
      <w:r>
        <w:rPr>
          <w:color w:val="auto"/>
          <w:highlight w:val="none"/>
        </w:rPr>
        <w:fldChar w:fldCharType="separate"/>
      </w:r>
      <w:r>
        <w:rPr>
          <w:rStyle w:val="65"/>
          <w:rFonts w:hint="eastAsia" w:ascii="宋体" w:hAnsi="宋体" w:cs="宋体"/>
          <w:b/>
          <w:bCs/>
          <w:color w:val="auto"/>
          <w:highlight w:val="none"/>
        </w:rPr>
        <w:t>2. 项目概况与招标范围</w:t>
      </w:r>
      <w:r>
        <w:rPr>
          <w:rStyle w:val="65"/>
          <w:rFonts w:hint="eastAsia" w:ascii="宋体" w:hAnsi="宋体" w:cs="宋体"/>
          <w:b/>
          <w:bCs/>
          <w:color w:val="auto"/>
          <w:highlight w:val="none"/>
        </w:rPr>
        <w:fldChar w:fldCharType="end"/>
      </w:r>
    </w:p>
    <w:p w14:paraId="3DCD03C0">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"_Toc126335756" </w:instrText>
      </w:r>
      <w:r>
        <w:rPr>
          <w:color w:val="auto"/>
          <w:highlight w:val="none"/>
        </w:rPr>
        <w:fldChar w:fldCharType="separate"/>
      </w:r>
      <w:r>
        <w:rPr>
          <w:rStyle w:val="65"/>
          <w:rFonts w:hint="eastAsia" w:ascii="宋体" w:hAnsi="宋体" w:cs="宋体"/>
          <w:b/>
          <w:bCs/>
          <w:color w:val="auto"/>
          <w:highlight w:val="none"/>
        </w:rPr>
        <w:t>3. 投标人资格要求</w:t>
      </w:r>
      <w:r>
        <w:rPr>
          <w:rStyle w:val="65"/>
          <w:rFonts w:hint="eastAsia" w:ascii="宋体" w:hAnsi="宋体" w:cs="宋体"/>
          <w:b/>
          <w:bCs/>
          <w:color w:val="auto"/>
          <w:highlight w:val="none"/>
        </w:rPr>
        <w:fldChar w:fldCharType="end"/>
      </w:r>
    </w:p>
    <w:p w14:paraId="3A64C6B0">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"_Toc126335757" </w:instrText>
      </w:r>
      <w:r>
        <w:rPr>
          <w:color w:val="auto"/>
          <w:highlight w:val="none"/>
        </w:rPr>
        <w:fldChar w:fldCharType="separate"/>
      </w:r>
      <w:r>
        <w:rPr>
          <w:rStyle w:val="65"/>
          <w:rFonts w:hint="eastAsia" w:ascii="宋体" w:hAnsi="宋体" w:cs="宋体"/>
          <w:b/>
          <w:bCs/>
          <w:color w:val="auto"/>
          <w:highlight w:val="none"/>
        </w:rPr>
        <w:t>4. 招标文件的获取</w:t>
      </w:r>
      <w:r>
        <w:rPr>
          <w:rStyle w:val="65"/>
          <w:rFonts w:hint="eastAsia" w:ascii="宋体" w:hAnsi="宋体" w:cs="宋体"/>
          <w:b/>
          <w:bCs/>
          <w:color w:val="auto"/>
          <w:highlight w:val="none"/>
        </w:rPr>
        <w:fldChar w:fldCharType="end"/>
      </w:r>
    </w:p>
    <w:p w14:paraId="5B757B53">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"_Toc126335758" </w:instrText>
      </w:r>
      <w:r>
        <w:rPr>
          <w:color w:val="auto"/>
          <w:highlight w:val="none"/>
        </w:rPr>
        <w:fldChar w:fldCharType="separate"/>
      </w:r>
      <w:r>
        <w:rPr>
          <w:rStyle w:val="65"/>
          <w:rFonts w:hint="eastAsia" w:ascii="宋体" w:hAnsi="宋体" w:cs="宋体"/>
          <w:b/>
          <w:bCs/>
          <w:color w:val="auto"/>
          <w:highlight w:val="none"/>
        </w:rPr>
        <w:t>5. 投标文件的递交</w:t>
      </w:r>
      <w:r>
        <w:rPr>
          <w:rStyle w:val="65"/>
          <w:rFonts w:hint="eastAsia" w:ascii="宋体" w:hAnsi="宋体" w:cs="宋体"/>
          <w:b/>
          <w:bCs/>
          <w:color w:val="auto"/>
          <w:highlight w:val="none"/>
        </w:rPr>
        <w:fldChar w:fldCharType="end"/>
      </w:r>
    </w:p>
    <w:p w14:paraId="144A404F">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"_Toc126335759" </w:instrText>
      </w:r>
      <w:r>
        <w:rPr>
          <w:color w:val="auto"/>
          <w:highlight w:val="none"/>
        </w:rPr>
        <w:fldChar w:fldCharType="separate"/>
      </w:r>
      <w:r>
        <w:rPr>
          <w:rStyle w:val="65"/>
          <w:rFonts w:hint="eastAsia" w:ascii="宋体" w:hAnsi="宋体" w:cs="宋体"/>
          <w:b/>
          <w:bCs/>
          <w:color w:val="auto"/>
          <w:highlight w:val="none"/>
        </w:rPr>
        <w:t>6. 开标时间及地点</w:t>
      </w:r>
      <w:r>
        <w:rPr>
          <w:rStyle w:val="65"/>
          <w:rFonts w:hint="eastAsia" w:ascii="宋体" w:hAnsi="宋体" w:cs="宋体"/>
          <w:b/>
          <w:bCs/>
          <w:color w:val="auto"/>
          <w:highlight w:val="none"/>
        </w:rPr>
        <w:fldChar w:fldCharType="end"/>
      </w:r>
    </w:p>
    <w:p w14:paraId="5781E079">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"_Toc126335760" </w:instrText>
      </w:r>
      <w:r>
        <w:rPr>
          <w:color w:val="auto"/>
          <w:highlight w:val="none"/>
        </w:rPr>
        <w:fldChar w:fldCharType="separate"/>
      </w:r>
      <w:r>
        <w:rPr>
          <w:rStyle w:val="65"/>
          <w:rFonts w:hint="eastAsia" w:ascii="宋体" w:hAnsi="宋体" w:cs="宋体"/>
          <w:b/>
          <w:bCs/>
          <w:color w:val="auto"/>
          <w:highlight w:val="none"/>
        </w:rPr>
        <w:t>7. 发布公告的媒介</w:t>
      </w:r>
      <w:r>
        <w:rPr>
          <w:rStyle w:val="65"/>
          <w:rFonts w:hint="eastAsia" w:ascii="宋体" w:hAnsi="宋体" w:cs="宋体"/>
          <w:b/>
          <w:bCs/>
          <w:color w:val="auto"/>
          <w:highlight w:val="none"/>
        </w:rPr>
        <w:fldChar w:fldCharType="end"/>
      </w:r>
    </w:p>
    <w:p w14:paraId="66662DF3">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"_Toc126335761" </w:instrText>
      </w:r>
      <w:r>
        <w:rPr>
          <w:color w:val="auto"/>
          <w:highlight w:val="none"/>
        </w:rPr>
        <w:fldChar w:fldCharType="separate"/>
      </w:r>
      <w:r>
        <w:rPr>
          <w:rStyle w:val="65"/>
          <w:rFonts w:hint="eastAsia" w:ascii="宋体" w:hAnsi="宋体" w:cs="宋体"/>
          <w:b/>
          <w:bCs/>
          <w:color w:val="auto"/>
          <w:highlight w:val="none"/>
        </w:rPr>
        <w:t>8.联系方式</w:t>
      </w:r>
      <w:r>
        <w:rPr>
          <w:rStyle w:val="65"/>
          <w:rFonts w:hint="eastAsia" w:ascii="宋体" w:hAnsi="宋体" w:cs="宋体"/>
          <w:b/>
          <w:bCs/>
          <w:color w:val="auto"/>
          <w:highlight w:val="none"/>
        </w:rPr>
        <w:fldChar w:fldCharType="end"/>
      </w:r>
    </w:p>
    <w:p w14:paraId="3E026951">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"_Toc126335763" </w:instrText>
      </w:r>
      <w:r>
        <w:rPr>
          <w:color w:val="auto"/>
          <w:highlight w:val="none"/>
        </w:rPr>
        <w:fldChar w:fldCharType="separate"/>
      </w:r>
      <w:r>
        <w:rPr>
          <w:rStyle w:val="65"/>
          <w:rFonts w:hint="eastAsia" w:ascii="宋体" w:hAnsi="宋体" w:cs="宋体"/>
          <w:b/>
          <w:bCs/>
          <w:color w:val="auto"/>
          <w:highlight w:val="none"/>
        </w:rPr>
        <w:t>9.其他事项说明</w:t>
      </w:r>
      <w:r>
        <w:rPr>
          <w:rStyle w:val="65"/>
          <w:rFonts w:hint="eastAsia" w:ascii="宋体" w:hAnsi="宋体" w:cs="宋体"/>
          <w:b/>
          <w:bCs/>
          <w:color w:val="auto"/>
          <w:highlight w:val="none"/>
        </w:rPr>
        <w:fldChar w:fldCharType="end"/>
      </w:r>
    </w:p>
    <w:p w14:paraId="371B1BBD">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"_Toc126335764" </w:instrText>
      </w:r>
      <w:r>
        <w:rPr>
          <w:color w:val="auto"/>
          <w:highlight w:val="none"/>
        </w:rPr>
        <w:fldChar w:fldCharType="separate"/>
      </w:r>
      <w:r>
        <w:rPr>
          <w:rStyle w:val="65"/>
          <w:rFonts w:hint="eastAsia" w:ascii="宋体" w:hAnsi="宋体" w:cs="宋体"/>
          <w:b/>
          <w:bCs/>
          <w:color w:val="auto"/>
          <w:highlight w:val="none"/>
        </w:rPr>
        <w:t>10.投标保证金收款银行账户信息</w:t>
      </w:r>
      <w:r>
        <w:rPr>
          <w:rStyle w:val="65"/>
          <w:rFonts w:hint="eastAsia" w:ascii="宋体" w:hAnsi="宋体" w:cs="宋体"/>
          <w:b/>
          <w:bCs/>
          <w:color w:val="auto"/>
          <w:highlight w:val="none"/>
        </w:rPr>
        <w:fldChar w:fldCharType="end"/>
      </w:r>
    </w:p>
    <w:p w14:paraId="15DDEAA8">
      <w:pPr>
        <w:pStyle w:val="35"/>
        <w:tabs>
          <w:tab w:val="right" w:leader="dot" w:pos="8870"/>
        </w:tabs>
        <w:spacing w:line="240" w:lineRule="auto"/>
        <w:rPr>
          <w:rFonts w:ascii="宋体" w:hAnsi="宋体" w:cs="宋体"/>
          <w:b w:val="0"/>
          <w:bCs w:val="0"/>
          <w:color w:val="auto"/>
          <w:kern w:val="2"/>
          <w:highlight w:val="none"/>
        </w:rPr>
      </w:pPr>
      <w:r>
        <w:rPr>
          <w:color w:val="auto"/>
          <w:highlight w:val="none"/>
        </w:rPr>
        <w:fldChar w:fldCharType="begin"/>
      </w:r>
      <w:r>
        <w:rPr>
          <w:color w:val="auto"/>
          <w:highlight w:val="none"/>
        </w:rPr>
        <w:instrText xml:space="preserve"> HYPERLINK \l "_Toc126335765" </w:instrText>
      </w:r>
      <w:r>
        <w:rPr>
          <w:color w:val="auto"/>
          <w:highlight w:val="none"/>
        </w:rPr>
        <w:fldChar w:fldCharType="separate"/>
      </w:r>
      <w:r>
        <w:rPr>
          <w:rStyle w:val="65"/>
          <w:rFonts w:hint="eastAsia" w:ascii="宋体" w:hAnsi="宋体" w:cs="宋体"/>
          <w:color w:val="auto"/>
          <w:highlight w:val="none"/>
        </w:rPr>
        <w:t>第二章   投标人须知</w:t>
      </w:r>
      <w:r>
        <w:rPr>
          <w:rStyle w:val="65"/>
          <w:rFonts w:hint="eastAsia" w:ascii="宋体" w:hAnsi="宋体" w:cs="宋体"/>
          <w:color w:val="auto"/>
          <w:highlight w:val="none"/>
        </w:rPr>
        <w:fldChar w:fldCharType="end"/>
      </w:r>
    </w:p>
    <w:p w14:paraId="63FD9B0F">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"_Toc126335766" </w:instrText>
      </w:r>
      <w:r>
        <w:rPr>
          <w:color w:val="auto"/>
          <w:highlight w:val="none"/>
        </w:rPr>
        <w:fldChar w:fldCharType="separate"/>
      </w:r>
      <w:r>
        <w:rPr>
          <w:rStyle w:val="65"/>
          <w:rFonts w:hint="eastAsia" w:ascii="宋体" w:hAnsi="宋体" w:cs="宋体"/>
          <w:color w:val="auto"/>
          <w:highlight w:val="none"/>
        </w:rPr>
        <w:t>投标人须知前附表</w:t>
      </w:r>
      <w:r>
        <w:rPr>
          <w:rStyle w:val="65"/>
          <w:rFonts w:hint="eastAsia" w:ascii="宋体" w:hAnsi="宋体" w:cs="宋体"/>
          <w:color w:val="auto"/>
          <w:highlight w:val="none"/>
        </w:rPr>
        <w:fldChar w:fldCharType="end"/>
      </w:r>
    </w:p>
    <w:p w14:paraId="413B042F">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"_Toc126335771" </w:instrText>
      </w:r>
      <w:r>
        <w:rPr>
          <w:color w:val="auto"/>
          <w:highlight w:val="none"/>
        </w:rPr>
        <w:fldChar w:fldCharType="separate"/>
      </w:r>
      <w:r>
        <w:rPr>
          <w:rStyle w:val="65"/>
          <w:rFonts w:hint="eastAsia" w:ascii="宋体" w:hAnsi="宋体" w:cs="宋体"/>
          <w:bCs/>
          <w:color w:val="auto"/>
          <w:highlight w:val="none"/>
        </w:rPr>
        <w:t>投标人须知正文修改一览表</w:t>
      </w:r>
      <w:r>
        <w:rPr>
          <w:rStyle w:val="65"/>
          <w:rFonts w:hint="eastAsia" w:ascii="宋体" w:hAnsi="宋体" w:cs="宋体"/>
          <w:bCs/>
          <w:color w:val="auto"/>
          <w:highlight w:val="none"/>
        </w:rPr>
        <w:fldChar w:fldCharType="end"/>
      </w:r>
    </w:p>
    <w:p w14:paraId="6CF26B4C">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"_Toc126335772" </w:instrText>
      </w:r>
      <w:r>
        <w:rPr>
          <w:color w:val="auto"/>
          <w:highlight w:val="none"/>
        </w:rPr>
        <w:fldChar w:fldCharType="separate"/>
      </w:r>
      <w:r>
        <w:rPr>
          <w:rStyle w:val="65"/>
          <w:rFonts w:hint="eastAsia" w:ascii="宋体" w:hAnsi="宋体" w:cs="宋体"/>
          <w:color w:val="auto"/>
          <w:highlight w:val="none"/>
        </w:rPr>
        <w:t>1. 总则</w:t>
      </w:r>
      <w:r>
        <w:rPr>
          <w:rStyle w:val="65"/>
          <w:rFonts w:hint="eastAsia" w:ascii="宋体" w:hAnsi="宋体" w:cs="宋体"/>
          <w:color w:val="auto"/>
          <w:highlight w:val="none"/>
        </w:rPr>
        <w:fldChar w:fldCharType="end"/>
      </w:r>
    </w:p>
    <w:p w14:paraId="47DFDD2D">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"_Toc126335773" </w:instrText>
      </w:r>
      <w:r>
        <w:rPr>
          <w:color w:val="auto"/>
          <w:highlight w:val="none"/>
        </w:rPr>
        <w:fldChar w:fldCharType="separate"/>
      </w:r>
      <w:r>
        <w:rPr>
          <w:rStyle w:val="65"/>
          <w:rFonts w:hint="eastAsia" w:ascii="宋体" w:hAnsi="宋体" w:cs="宋体"/>
          <w:color w:val="auto"/>
          <w:highlight w:val="none"/>
        </w:rPr>
        <w:t>2. 招标文件</w:t>
      </w:r>
      <w:r>
        <w:rPr>
          <w:rStyle w:val="65"/>
          <w:rFonts w:hint="eastAsia" w:ascii="宋体" w:hAnsi="宋体" w:cs="宋体"/>
          <w:color w:val="auto"/>
          <w:highlight w:val="none"/>
        </w:rPr>
        <w:fldChar w:fldCharType="end"/>
      </w:r>
    </w:p>
    <w:p w14:paraId="386D2C27">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"_Toc126335774" </w:instrText>
      </w:r>
      <w:r>
        <w:rPr>
          <w:color w:val="auto"/>
          <w:highlight w:val="none"/>
        </w:rPr>
        <w:fldChar w:fldCharType="separate"/>
      </w:r>
      <w:r>
        <w:rPr>
          <w:rStyle w:val="65"/>
          <w:rFonts w:hint="eastAsia" w:ascii="宋体" w:hAnsi="宋体" w:cs="宋体"/>
          <w:color w:val="auto"/>
          <w:highlight w:val="none"/>
        </w:rPr>
        <w:t>3. 投标文件</w:t>
      </w:r>
      <w:r>
        <w:rPr>
          <w:rStyle w:val="65"/>
          <w:rFonts w:hint="eastAsia" w:ascii="宋体" w:hAnsi="宋体" w:cs="宋体"/>
          <w:color w:val="auto"/>
          <w:highlight w:val="none"/>
        </w:rPr>
        <w:fldChar w:fldCharType="end"/>
      </w:r>
    </w:p>
    <w:p w14:paraId="099345F7">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"_Toc126335775" </w:instrText>
      </w:r>
      <w:r>
        <w:rPr>
          <w:color w:val="auto"/>
          <w:highlight w:val="none"/>
        </w:rPr>
        <w:fldChar w:fldCharType="separate"/>
      </w:r>
      <w:r>
        <w:rPr>
          <w:rStyle w:val="65"/>
          <w:rFonts w:hint="eastAsia" w:ascii="宋体" w:hAnsi="宋体" w:cs="宋体"/>
          <w:color w:val="auto"/>
          <w:highlight w:val="none"/>
        </w:rPr>
        <w:t>4. 投标</w:t>
      </w:r>
      <w:r>
        <w:rPr>
          <w:rStyle w:val="65"/>
          <w:rFonts w:hint="eastAsia" w:ascii="宋体" w:hAnsi="宋体" w:cs="宋体"/>
          <w:color w:val="auto"/>
          <w:highlight w:val="none"/>
        </w:rPr>
        <w:fldChar w:fldCharType="end"/>
      </w:r>
    </w:p>
    <w:p w14:paraId="37CE72E5">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"_Toc126335776" </w:instrText>
      </w:r>
      <w:r>
        <w:rPr>
          <w:color w:val="auto"/>
          <w:highlight w:val="none"/>
        </w:rPr>
        <w:fldChar w:fldCharType="separate"/>
      </w:r>
      <w:r>
        <w:rPr>
          <w:rStyle w:val="65"/>
          <w:rFonts w:hint="eastAsia" w:ascii="宋体" w:hAnsi="宋体" w:cs="宋体"/>
          <w:color w:val="auto"/>
          <w:highlight w:val="none"/>
        </w:rPr>
        <w:t>5. 开标</w:t>
      </w:r>
      <w:r>
        <w:rPr>
          <w:rStyle w:val="65"/>
          <w:rFonts w:hint="eastAsia" w:ascii="宋体" w:hAnsi="宋体" w:cs="宋体"/>
          <w:color w:val="auto"/>
          <w:highlight w:val="none"/>
        </w:rPr>
        <w:fldChar w:fldCharType="end"/>
      </w:r>
    </w:p>
    <w:p w14:paraId="2CF12F22">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"_Toc126335777" </w:instrText>
      </w:r>
      <w:r>
        <w:rPr>
          <w:color w:val="auto"/>
          <w:highlight w:val="none"/>
        </w:rPr>
        <w:fldChar w:fldCharType="separate"/>
      </w:r>
      <w:r>
        <w:rPr>
          <w:rStyle w:val="65"/>
          <w:rFonts w:hint="eastAsia" w:ascii="宋体" w:hAnsi="宋体" w:cs="宋体"/>
          <w:color w:val="auto"/>
          <w:highlight w:val="none"/>
        </w:rPr>
        <w:t>6. 评标</w:t>
      </w:r>
      <w:r>
        <w:rPr>
          <w:rStyle w:val="65"/>
          <w:rFonts w:hint="eastAsia" w:ascii="宋体" w:hAnsi="宋体" w:cs="宋体"/>
          <w:color w:val="auto"/>
          <w:highlight w:val="none"/>
        </w:rPr>
        <w:fldChar w:fldCharType="end"/>
      </w:r>
    </w:p>
    <w:p w14:paraId="63BAD841">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"_Toc126335778" </w:instrText>
      </w:r>
      <w:r>
        <w:rPr>
          <w:color w:val="auto"/>
          <w:highlight w:val="none"/>
        </w:rPr>
        <w:fldChar w:fldCharType="separate"/>
      </w:r>
      <w:r>
        <w:rPr>
          <w:rStyle w:val="65"/>
          <w:rFonts w:hint="eastAsia" w:ascii="宋体" w:hAnsi="宋体" w:cs="宋体"/>
          <w:color w:val="auto"/>
          <w:highlight w:val="none"/>
        </w:rPr>
        <w:t>7. 合同授予</w:t>
      </w:r>
      <w:r>
        <w:rPr>
          <w:rStyle w:val="65"/>
          <w:rFonts w:hint="eastAsia" w:ascii="宋体" w:hAnsi="宋体" w:cs="宋体"/>
          <w:color w:val="auto"/>
          <w:highlight w:val="none"/>
        </w:rPr>
        <w:fldChar w:fldCharType="end"/>
      </w:r>
    </w:p>
    <w:p w14:paraId="6AA396CD">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"_Toc126335779" </w:instrText>
      </w:r>
      <w:r>
        <w:rPr>
          <w:color w:val="auto"/>
          <w:highlight w:val="none"/>
        </w:rPr>
        <w:fldChar w:fldCharType="separate"/>
      </w:r>
      <w:r>
        <w:rPr>
          <w:rStyle w:val="65"/>
          <w:rFonts w:hint="eastAsia" w:ascii="宋体" w:hAnsi="宋体" w:cs="宋体"/>
          <w:color w:val="auto"/>
          <w:highlight w:val="none"/>
        </w:rPr>
        <w:t>8. 重新招标和不再招标</w:t>
      </w:r>
      <w:r>
        <w:rPr>
          <w:rStyle w:val="65"/>
          <w:rFonts w:hint="eastAsia" w:ascii="宋体" w:hAnsi="宋体" w:cs="宋体"/>
          <w:color w:val="auto"/>
          <w:highlight w:val="none"/>
        </w:rPr>
        <w:fldChar w:fldCharType="end"/>
      </w:r>
    </w:p>
    <w:p w14:paraId="4F432BE7">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"_Toc126335780" </w:instrText>
      </w:r>
      <w:r>
        <w:rPr>
          <w:color w:val="auto"/>
          <w:highlight w:val="none"/>
        </w:rPr>
        <w:fldChar w:fldCharType="separate"/>
      </w:r>
      <w:r>
        <w:rPr>
          <w:rStyle w:val="65"/>
          <w:rFonts w:hint="eastAsia" w:ascii="宋体" w:hAnsi="宋体" w:cs="宋体"/>
          <w:color w:val="auto"/>
          <w:highlight w:val="none"/>
        </w:rPr>
        <w:t>9. 纪律和监督</w:t>
      </w:r>
      <w:r>
        <w:rPr>
          <w:rStyle w:val="65"/>
          <w:rFonts w:hint="eastAsia" w:ascii="宋体" w:hAnsi="宋体" w:cs="宋体"/>
          <w:color w:val="auto"/>
          <w:highlight w:val="none"/>
        </w:rPr>
        <w:fldChar w:fldCharType="end"/>
      </w:r>
    </w:p>
    <w:p w14:paraId="4D1AF93E">
      <w:pPr>
        <w:pStyle w:val="44"/>
        <w:tabs>
          <w:tab w:val="right" w:leader="dot" w:pos="8870"/>
        </w:tabs>
        <w:spacing w:line="240" w:lineRule="auto"/>
        <w:rPr>
          <w:rFonts w:ascii="宋体" w:hAnsi="宋体" w:cs="宋体"/>
          <w:color w:val="auto"/>
          <w:kern w:val="2"/>
          <w:highlight w:val="none"/>
        </w:rPr>
      </w:pPr>
      <w:r>
        <w:rPr>
          <w:color w:val="auto"/>
          <w:highlight w:val="none"/>
        </w:rPr>
        <w:fldChar w:fldCharType="begin"/>
      </w:r>
      <w:r>
        <w:rPr>
          <w:color w:val="auto"/>
          <w:highlight w:val="none"/>
        </w:rPr>
        <w:instrText xml:space="preserve"> HYPERLINK \l "_Toc126335781" </w:instrText>
      </w:r>
      <w:r>
        <w:rPr>
          <w:color w:val="auto"/>
          <w:highlight w:val="none"/>
        </w:rPr>
        <w:fldChar w:fldCharType="separate"/>
      </w:r>
      <w:r>
        <w:rPr>
          <w:rStyle w:val="65"/>
          <w:rFonts w:hint="eastAsia" w:ascii="宋体" w:hAnsi="宋体" w:cs="宋体"/>
          <w:color w:val="auto"/>
          <w:highlight w:val="none"/>
        </w:rPr>
        <w:t>10. 需要补充的其他内容</w:t>
      </w:r>
      <w:r>
        <w:rPr>
          <w:rStyle w:val="65"/>
          <w:rFonts w:hint="eastAsia" w:ascii="宋体" w:hAnsi="宋体" w:cs="宋体"/>
          <w:color w:val="auto"/>
          <w:highlight w:val="none"/>
        </w:rPr>
        <w:fldChar w:fldCharType="end"/>
      </w:r>
    </w:p>
    <w:p w14:paraId="35925E35">
      <w:pPr>
        <w:pStyle w:val="35"/>
        <w:tabs>
          <w:tab w:val="right" w:leader="dot" w:pos="8870"/>
        </w:tabs>
        <w:spacing w:line="240" w:lineRule="auto"/>
        <w:rPr>
          <w:rStyle w:val="65"/>
          <w:rFonts w:ascii="宋体" w:hAnsi="宋体" w:cs="宋体"/>
          <w:color w:val="auto"/>
          <w:highlight w:val="none"/>
        </w:rPr>
      </w:pPr>
      <w:r>
        <w:rPr>
          <w:color w:val="auto"/>
          <w:highlight w:val="none"/>
        </w:rPr>
        <w:fldChar w:fldCharType="begin"/>
      </w:r>
      <w:r>
        <w:rPr>
          <w:color w:val="auto"/>
          <w:highlight w:val="none"/>
        </w:rPr>
        <w:instrText xml:space="preserve"> HYPERLINK \l "_Toc126335782" </w:instrText>
      </w:r>
      <w:r>
        <w:rPr>
          <w:color w:val="auto"/>
          <w:highlight w:val="none"/>
        </w:rPr>
        <w:fldChar w:fldCharType="separate"/>
      </w:r>
      <w:r>
        <w:rPr>
          <w:rStyle w:val="65"/>
          <w:rFonts w:hint="eastAsia" w:ascii="宋体" w:hAnsi="宋体" w:cs="宋体"/>
          <w:color w:val="auto"/>
          <w:highlight w:val="none"/>
        </w:rPr>
        <w:t>第三章 评标办法</w:t>
      </w:r>
      <w:r>
        <w:rPr>
          <w:rStyle w:val="65"/>
          <w:rFonts w:hint="eastAsia" w:ascii="宋体" w:hAnsi="宋体" w:cs="宋体"/>
          <w:color w:val="auto"/>
          <w:highlight w:val="none"/>
        </w:rPr>
        <w:fldChar w:fldCharType="end"/>
      </w:r>
    </w:p>
    <w:p w14:paraId="349594C5">
      <w:pPr>
        <w:spacing w:line="240" w:lineRule="auto"/>
        <w:rPr>
          <w:rFonts w:hAnsi="宋体" w:cs="宋体"/>
          <w:color w:val="auto"/>
          <w:sz w:val="20"/>
          <w:highlight w:val="none"/>
        </w:rPr>
      </w:pPr>
      <w:r>
        <w:rPr>
          <w:color w:val="auto"/>
          <w:highlight w:val="none"/>
        </w:rPr>
        <w:fldChar w:fldCharType="begin"/>
      </w:r>
      <w:r>
        <w:rPr>
          <w:color w:val="auto"/>
          <w:highlight w:val="none"/>
        </w:rPr>
        <w:instrText xml:space="preserve"> HYPERLINK \l "_Toc126335782" </w:instrText>
      </w:r>
      <w:r>
        <w:rPr>
          <w:color w:val="auto"/>
          <w:highlight w:val="none"/>
        </w:rPr>
        <w:fldChar w:fldCharType="separate"/>
      </w:r>
      <w:r>
        <w:rPr>
          <w:rStyle w:val="65"/>
          <w:rFonts w:hint="eastAsia" w:hAnsi="宋体" w:cs="宋体"/>
          <w:b/>
          <w:bCs/>
          <w:caps/>
          <w:color w:val="auto"/>
          <w:sz w:val="20"/>
          <w:highlight w:val="none"/>
        </w:rPr>
        <w:t>第四章 合同条款及格式</w:t>
      </w:r>
      <w:r>
        <w:rPr>
          <w:rStyle w:val="65"/>
          <w:rFonts w:hint="eastAsia" w:hAnsi="宋体" w:cs="宋体"/>
          <w:b/>
          <w:bCs/>
          <w:caps/>
          <w:color w:val="auto"/>
          <w:sz w:val="20"/>
          <w:highlight w:val="none"/>
        </w:rPr>
        <w:fldChar w:fldCharType="end"/>
      </w:r>
    </w:p>
    <w:p w14:paraId="61F0A101">
      <w:pPr>
        <w:pStyle w:val="35"/>
        <w:tabs>
          <w:tab w:val="right" w:leader="dot" w:pos="8870"/>
        </w:tabs>
        <w:spacing w:line="240" w:lineRule="auto"/>
        <w:rPr>
          <w:rFonts w:ascii="宋体" w:hAnsi="宋体" w:cs="宋体"/>
          <w:b w:val="0"/>
          <w:bCs w:val="0"/>
          <w:color w:val="auto"/>
          <w:kern w:val="2"/>
          <w:highlight w:val="none"/>
        </w:rPr>
      </w:pPr>
      <w:r>
        <w:rPr>
          <w:color w:val="auto"/>
          <w:highlight w:val="none"/>
        </w:rPr>
        <w:fldChar w:fldCharType="begin"/>
      </w:r>
      <w:r>
        <w:rPr>
          <w:color w:val="auto"/>
          <w:highlight w:val="none"/>
        </w:rPr>
        <w:instrText xml:space="preserve"> HYPERLINK \l "_Toc126335796" </w:instrText>
      </w:r>
      <w:r>
        <w:rPr>
          <w:color w:val="auto"/>
          <w:highlight w:val="none"/>
        </w:rPr>
        <w:fldChar w:fldCharType="separate"/>
      </w:r>
      <w:r>
        <w:rPr>
          <w:rStyle w:val="65"/>
          <w:rFonts w:hint="eastAsia" w:ascii="宋体" w:hAnsi="宋体" w:cs="宋体"/>
          <w:color w:val="auto"/>
          <w:highlight w:val="none"/>
        </w:rPr>
        <w:t>第五章  投标文件格式</w:t>
      </w:r>
      <w:r>
        <w:rPr>
          <w:rStyle w:val="65"/>
          <w:rFonts w:hint="eastAsia" w:ascii="宋体" w:hAnsi="宋体" w:cs="宋体"/>
          <w:color w:val="auto"/>
          <w:highlight w:val="none"/>
        </w:rPr>
        <w:fldChar w:fldCharType="end"/>
      </w:r>
    </w:p>
    <w:p w14:paraId="350C0F07">
      <w:pPr>
        <w:pStyle w:val="44"/>
        <w:tabs>
          <w:tab w:val="right" w:leader="dot" w:pos="8870"/>
        </w:tabs>
        <w:spacing w:line="240" w:lineRule="auto"/>
        <w:ind w:left="0"/>
        <w:rPr>
          <w:rFonts w:ascii="宋体" w:hAnsi="宋体" w:cs="宋体"/>
          <w:color w:val="auto"/>
          <w:kern w:val="2"/>
          <w:highlight w:val="none"/>
        </w:rPr>
      </w:pPr>
      <w:r>
        <w:rPr>
          <w:rStyle w:val="65"/>
          <w:rFonts w:hint="eastAsia" w:ascii="宋体" w:hAnsi="宋体" w:cs="宋体"/>
          <w:b/>
          <w:bCs/>
          <w:caps/>
          <w:color w:val="auto"/>
          <w:highlight w:val="none"/>
        </w:rPr>
        <w:t>第六章  项目需求</w:t>
      </w:r>
    </w:p>
    <w:p w14:paraId="094A1250">
      <w:pPr>
        <w:adjustRightInd w:val="0"/>
        <w:snapToGrid w:val="0"/>
        <w:spacing w:line="240" w:lineRule="auto"/>
        <w:ind w:firstLine="435"/>
        <w:jc w:val="center"/>
        <w:rPr>
          <w:rFonts w:hAnsi="宋体" w:cs="宋体"/>
          <w:color w:val="auto"/>
          <w:highlight w:val="none"/>
        </w:rPr>
      </w:pPr>
      <w:r>
        <w:rPr>
          <w:rFonts w:hint="eastAsia" w:hAnsi="宋体" w:cs="宋体"/>
          <w:color w:val="auto"/>
          <w:sz w:val="20"/>
          <w:highlight w:val="none"/>
        </w:rPr>
        <w:fldChar w:fldCharType="end"/>
      </w:r>
    </w:p>
    <w:p w14:paraId="51BBD73A">
      <w:pPr>
        <w:pStyle w:val="2"/>
        <w:adjustRightInd w:val="0"/>
        <w:snapToGrid w:val="0"/>
        <w:spacing w:line="360" w:lineRule="exact"/>
        <w:jc w:val="center"/>
        <w:rPr>
          <w:rFonts w:ascii="宋体" w:hAnsi="宋体" w:cs="宋体"/>
          <w:color w:val="auto"/>
          <w:highlight w:val="none"/>
        </w:rPr>
      </w:pPr>
      <w:r>
        <w:rPr>
          <w:rFonts w:hint="eastAsia" w:ascii="宋体" w:hAnsi="宋体" w:cs="宋体"/>
          <w:color w:val="auto"/>
          <w:highlight w:val="none"/>
        </w:rPr>
        <w:br w:type="page"/>
      </w:r>
      <w:bookmarkStart w:id="0" w:name="_Toc126335753"/>
      <w:r>
        <w:rPr>
          <w:rFonts w:hint="eastAsia" w:ascii="宋体" w:hAnsi="宋体" w:cs="宋体"/>
          <w:bCs w:val="0"/>
          <w:color w:val="auto"/>
          <w:highlight w:val="none"/>
        </w:rPr>
        <w:t>第一章  招标公告</w:t>
      </w:r>
      <w:bookmarkEnd w:id="0"/>
    </w:p>
    <w:p w14:paraId="54F525DC">
      <w:pPr>
        <w:adjustRightInd w:val="0"/>
        <w:snapToGrid w:val="0"/>
        <w:spacing w:line="572" w:lineRule="exact"/>
        <w:jc w:val="center"/>
        <w:rPr>
          <w:rFonts w:hAnsi="宋体" w:cs="宋体"/>
          <w:b/>
          <w:bCs/>
          <w:color w:val="auto"/>
          <w:highlight w:val="none"/>
        </w:rPr>
      </w:pPr>
      <w:bookmarkStart w:id="1" w:name="_Toc5952"/>
      <w:bookmarkStart w:id="2" w:name="_Toc32477"/>
      <w:r>
        <w:rPr>
          <w:rFonts w:hint="eastAsia" w:hAnsi="宋体" w:cs="宋体"/>
          <w:b/>
          <w:bCs/>
          <w:color w:val="auto"/>
          <w:highlight w:val="none"/>
          <w:u w:val="single"/>
          <w:lang w:eastAsia="zh-CN"/>
        </w:rPr>
        <w:t>铜陵市郊区城镇污水处理设施提质增效工程污水管网CCTV检测项目</w:t>
      </w:r>
      <w:r>
        <w:rPr>
          <w:rFonts w:hint="eastAsia" w:hAnsi="宋体" w:cs="宋体"/>
          <w:b/>
          <w:bCs/>
          <w:color w:val="auto"/>
          <w:highlight w:val="none"/>
        </w:rPr>
        <w:t>招标公告</w:t>
      </w:r>
      <w:bookmarkEnd w:id="1"/>
      <w:bookmarkEnd w:id="2"/>
    </w:p>
    <w:p w14:paraId="4E39D8D9">
      <w:pPr>
        <w:adjustRightInd w:val="0"/>
        <w:snapToGrid w:val="0"/>
        <w:spacing w:line="572" w:lineRule="exact"/>
        <w:outlineLvl w:val="1"/>
        <w:rPr>
          <w:rFonts w:hAnsi="宋体" w:cs="宋体"/>
          <w:b/>
          <w:bCs/>
          <w:color w:val="auto"/>
          <w:highlight w:val="none"/>
        </w:rPr>
      </w:pPr>
      <w:bookmarkStart w:id="3" w:name="_Toc126335754"/>
      <w:bookmarkStart w:id="4" w:name="_Toc120089503"/>
      <w:r>
        <w:rPr>
          <w:rFonts w:hint="eastAsia" w:hAnsi="宋体" w:cs="宋体"/>
          <w:b/>
          <w:bCs/>
          <w:color w:val="auto"/>
          <w:highlight w:val="none"/>
        </w:rPr>
        <w:t>1. 招标条件</w:t>
      </w:r>
      <w:bookmarkEnd w:id="3"/>
      <w:bookmarkEnd w:id="4"/>
    </w:p>
    <w:p w14:paraId="5C9E02EC">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rPr>
        <w:t>1.1 项目名称：</w:t>
      </w:r>
      <w:r>
        <w:rPr>
          <w:rFonts w:hint="eastAsia" w:hAnsi="宋体" w:cs="宋体"/>
          <w:bCs/>
          <w:color w:val="auto"/>
          <w:highlight w:val="none"/>
          <w:u w:val="single"/>
          <w:lang w:eastAsia="zh-CN"/>
        </w:rPr>
        <w:t>铜陵市郊区城镇污水处理设施提质增效工程污水管网CCTV检测项目</w:t>
      </w:r>
      <w:r>
        <w:rPr>
          <w:rFonts w:hint="eastAsia" w:hAnsi="宋体" w:cs="宋体"/>
          <w:color w:val="auto"/>
          <w:highlight w:val="none"/>
        </w:rPr>
        <w:t>；</w:t>
      </w:r>
    </w:p>
    <w:p w14:paraId="14F7BC11">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rPr>
        <w:t>1.2 项目审批、核准或备案机关名称：</w:t>
      </w:r>
      <w:r>
        <w:rPr>
          <w:rFonts w:hint="eastAsia" w:hAnsi="宋体" w:cs="宋体"/>
          <w:color w:val="auto"/>
          <w:highlight w:val="none"/>
          <w:u w:val="single"/>
        </w:rPr>
        <w:t>铜陵市</w:t>
      </w:r>
      <w:r>
        <w:rPr>
          <w:rFonts w:hint="eastAsia" w:hAnsi="宋体" w:cs="宋体"/>
          <w:color w:val="auto"/>
          <w:highlight w:val="none"/>
          <w:u w:val="single"/>
          <w:lang w:val="en-US" w:eastAsia="zh-CN"/>
        </w:rPr>
        <w:t>郊区</w:t>
      </w:r>
      <w:r>
        <w:rPr>
          <w:rFonts w:hint="eastAsia" w:hAnsi="宋体" w:cs="宋体"/>
          <w:color w:val="auto"/>
          <w:highlight w:val="none"/>
          <w:u w:val="single"/>
        </w:rPr>
        <w:t>发展和改革委员会</w:t>
      </w:r>
      <w:r>
        <w:rPr>
          <w:rFonts w:hint="eastAsia" w:hAnsi="宋体" w:cs="宋体"/>
          <w:color w:val="auto"/>
          <w:highlight w:val="none"/>
        </w:rPr>
        <w:t>；</w:t>
      </w:r>
    </w:p>
    <w:p w14:paraId="45823027">
      <w:pPr>
        <w:adjustRightInd w:val="0"/>
        <w:snapToGrid w:val="0"/>
        <w:spacing w:line="572" w:lineRule="exact"/>
        <w:ind w:firstLine="480" w:firstLineChars="200"/>
        <w:jc w:val="left"/>
        <w:rPr>
          <w:rFonts w:hAnsi="宋体" w:cs="宋体"/>
          <w:color w:val="auto"/>
          <w:highlight w:val="none"/>
        </w:rPr>
      </w:pPr>
      <w:r>
        <w:rPr>
          <w:rFonts w:hint="eastAsia" w:hAnsi="宋体" w:cs="宋体"/>
          <w:bCs/>
          <w:color w:val="auto"/>
          <w:szCs w:val="21"/>
          <w:highlight w:val="none"/>
        </w:rPr>
        <w:t>1.3 批文名称及编号：</w:t>
      </w:r>
      <w:r>
        <w:rPr>
          <w:rFonts w:hint="eastAsia" w:hAnsi="宋体" w:cs="宋体"/>
          <w:bCs/>
          <w:color w:val="auto"/>
          <w:szCs w:val="21"/>
          <w:highlight w:val="none"/>
          <w:u w:val="single"/>
        </w:rPr>
        <w:t>郊区发展改革委员会项目备案表</w:t>
      </w:r>
      <w:r>
        <w:rPr>
          <w:rFonts w:hint="eastAsia" w:hAnsi="宋体" w:cs="宋体"/>
          <w:color w:val="auto"/>
          <w:highlight w:val="none"/>
          <w:u w:val="single"/>
        </w:rPr>
        <w:t>；</w:t>
      </w:r>
    </w:p>
    <w:p w14:paraId="00BF0E7F">
      <w:pPr>
        <w:adjustRightInd w:val="0"/>
        <w:snapToGrid w:val="0"/>
        <w:spacing w:line="572" w:lineRule="exact"/>
        <w:ind w:firstLine="480" w:firstLineChars="200"/>
        <w:rPr>
          <w:rFonts w:hAnsi="宋体" w:cs="宋体"/>
          <w:color w:val="auto"/>
          <w:highlight w:val="none"/>
          <w:u w:val="single"/>
        </w:rPr>
      </w:pPr>
      <w:r>
        <w:rPr>
          <w:rFonts w:hint="eastAsia" w:hAnsi="宋体" w:cs="宋体"/>
          <w:bCs/>
          <w:color w:val="auto"/>
          <w:szCs w:val="21"/>
          <w:highlight w:val="none"/>
        </w:rPr>
        <w:t>1.4 招标人：</w:t>
      </w:r>
      <w:r>
        <w:rPr>
          <w:rFonts w:hint="eastAsia" w:hAnsi="宋体" w:cs="宋体"/>
          <w:color w:val="auto"/>
          <w:highlight w:val="none"/>
          <w:u w:val="single"/>
          <w:lang w:eastAsia="zh-CN"/>
        </w:rPr>
        <w:t>铜陵金诚资产运营有限公司</w:t>
      </w:r>
      <w:r>
        <w:rPr>
          <w:rFonts w:hint="eastAsia" w:hAnsi="宋体" w:cs="宋体"/>
          <w:color w:val="auto"/>
          <w:highlight w:val="none"/>
        </w:rPr>
        <w:t>；</w:t>
      </w:r>
    </w:p>
    <w:p w14:paraId="2C806A12">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rPr>
        <w:t>1.5 项目业主：</w:t>
      </w:r>
      <w:r>
        <w:rPr>
          <w:rFonts w:hint="eastAsia" w:hAnsi="宋体" w:cs="宋体"/>
          <w:bCs/>
          <w:color w:val="auto"/>
          <w:szCs w:val="21"/>
          <w:highlight w:val="none"/>
          <w:u w:val="single"/>
          <w:lang w:val="en-US" w:eastAsia="zh-CN"/>
        </w:rPr>
        <w:t>铜陵金诚资产运营有限公司</w:t>
      </w:r>
      <w:r>
        <w:rPr>
          <w:rFonts w:hint="eastAsia" w:hAnsi="宋体" w:cs="宋体"/>
          <w:color w:val="auto"/>
          <w:highlight w:val="none"/>
        </w:rPr>
        <w:t>；</w:t>
      </w:r>
    </w:p>
    <w:p w14:paraId="42ECAC38">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rPr>
        <w:t>1.6 资金来源：</w:t>
      </w:r>
      <w:r>
        <w:rPr>
          <w:rFonts w:hint="eastAsia" w:hAnsi="宋体" w:cs="宋体"/>
          <w:bCs/>
          <w:color w:val="auto"/>
          <w:szCs w:val="21"/>
          <w:highlight w:val="none"/>
          <w:u w:val="single"/>
          <w:lang w:val="en-US" w:eastAsia="zh-CN"/>
        </w:rPr>
        <w:t>自筹</w:t>
      </w:r>
      <w:r>
        <w:rPr>
          <w:rFonts w:hint="eastAsia" w:hAnsi="宋体" w:cs="宋体"/>
          <w:color w:val="auto"/>
          <w:highlight w:val="none"/>
          <w:u w:val="single"/>
          <w:lang w:val="en-US" w:eastAsia="zh-CN"/>
        </w:rPr>
        <w:t>资金</w:t>
      </w:r>
      <w:r>
        <w:rPr>
          <w:rFonts w:hint="eastAsia" w:hAnsi="宋体" w:cs="宋体"/>
          <w:color w:val="auto"/>
          <w:highlight w:val="none"/>
        </w:rPr>
        <w:t>；</w:t>
      </w:r>
    </w:p>
    <w:p w14:paraId="46B4BA19">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rPr>
        <w:t>1.7 项目出资比例：</w:t>
      </w:r>
      <w:r>
        <w:rPr>
          <w:rFonts w:hint="eastAsia" w:hAnsi="宋体" w:cs="宋体"/>
          <w:color w:val="auto"/>
          <w:highlight w:val="none"/>
          <w:u w:val="single"/>
        </w:rPr>
        <w:t>100%</w:t>
      </w:r>
      <w:r>
        <w:rPr>
          <w:rFonts w:hint="eastAsia" w:hAnsi="宋体" w:cs="宋体"/>
          <w:color w:val="auto"/>
          <w:highlight w:val="none"/>
        </w:rPr>
        <w:t>；</w:t>
      </w:r>
    </w:p>
    <w:p w14:paraId="36E614D0">
      <w:pPr>
        <w:adjustRightInd w:val="0"/>
        <w:snapToGrid w:val="0"/>
        <w:spacing w:line="572" w:lineRule="exact"/>
        <w:ind w:firstLine="480" w:firstLineChars="200"/>
        <w:rPr>
          <w:rFonts w:hAnsi="宋体" w:cs="宋体"/>
          <w:color w:val="auto"/>
          <w:highlight w:val="none"/>
        </w:rPr>
      </w:pPr>
      <w:r>
        <w:rPr>
          <w:rFonts w:hint="eastAsia" w:hAnsi="宋体" w:cs="宋体"/>
          <w:color w:val="auto"/>
          <w:highlight w:val="none"/>
        </w:rPr>
        <w:t>1.8</w:t>
      </w:r>
      <w:r>
        <w:rPr>
          <w:rFonts w:hint="eastAsia" w:hAnsi="宋体" w:cs="宋体"/>
          <w:color w:val="auto"/>
          <w:highlight w:val="none"/>
          <w:lang w:val="en-US" w:eastAsia="zh-CN"/>
        </w:rPr>
        <w:t xml:space="preserve"> </w:t>
      </w:r>
      <w:r>
        <w:rPr>
          <w:rFonts w:hint="eastAsia" w:hAnsi="宋体" w:cs="宋体"/>
          <w:color w:val="auto"/>
          <w:highlight w:val="none"/>
        </w:rPr>
        <w:t>招标方式：</w:t>
      </w:r>
      <w:r>
        <w:rPr>
          <w:rFonts w:hint="eastAsia" w:hAnsi="宋体" w:cs="宋体"/>
          <w:color w:val="auto"/>
          <w:highlight w:val="none"/>
          <w:u w:val="single"/>
        </w:rPr>
        <w:t>公开招标</w:t>
      </w:r>
      <w:r>
        <w:rPr>
          <w:rFonts w:hint="eastAsia" w:hAnsi="宋体" w:cs="宋体"/>
          <w:color w:val="auto"/>
          <w:highlight w:val="none"/>
        </w:rPr>
        <w:t>；</w:t>
      </w:r>
    </w:p>
    <w:p w14:paraId="5729E0BA">
      <w:pPr>
        <w:adjustRightInd w:val="0"/>
        <w:snapToGrid w:val="0"/>
        <w:spacing w:line="572" w:lineRule="exact"/>
        <w:ind w:firstLine="480" w:firstLineChars="200"/>
        <w:rPr>
          <w:rFonts w:hAnsi="宋体" w:cs="宋体"/>
          <w:color w:val="auto"/>
          <w:highlight w:val="none"/>
        </w:rPr>
      </w:pPr>
      <w:r>
        <w:rPr>
          <w:rFonts w:hint="eastAsia" w:hAnsi="宋体" w:cs="宋体"/>
          <w:color w:val="auto"/>
          <w:highlight w:val="none"/>
        </w:rPr>
        <w:t>1.9</w:t>
      </w:r>
      <w:r>
        <w:rPr>
          <w:rFonts w:hint="eastAsia" w:hAnsi="宋体" w:cs="宋体"/>
          <w:color w:val="auto"/>
          <w:highlight w:val="none"/>
          <w:lang w:val="en-US" w:eastAsia="zh-CN"/>
        </w:rPr>
        <w:t xml:space="preserve"> </w:t>
      </w:r>
      <w:r>
        <w:rPr>
          <w:rFonts w:hint="eastAsia" w:hAnsi="宋体" w:cs="宋体"/>
          <w:color w:val="auto"/>
          <w:highlight w:val="none"/>
        </w:rPr>
        <w:t>评标办法：</w:t>
      </w:r>
      <w:r>
        <w:rPr>
          <w:rFonts w:hint="eastAsia" w:hAnsi="宋体" w:cs="宋体"/>
          <w:color w:val="auto"/>
          <w:highlight w:val="none"/>
          <w:u w:val="single"/>
        </w:rPr>
        <w:t>综合评估法</w:t>
      </w:r>
      <w:r>
        <w:rPr>
          <w:rFonts w:hint="eastAsia" w:hAnsi="宋体" w:cs="宋体"/>
          <w:color w:val="auto"/>
          <w:highlight w:val="none"/>
        </w:rPr>
        <w:t>；</w:t>
      </w:r>
    </w:p>
    <w:p w14:paraId="46F5578C">
      <w:pPr>
        <w:adjustRightInd w:val="0"/>
        <w:snapToGrid w:val="0"/>
        <w:spacing w:line="572" w:lineRule="exact"/>
        <w:outlineLvl w:val="1"/>
        <w:rPr>
          <w:rFonts w:hAnsi="宋体" w:cs="宋体"/>
          <w:b/>
          <w:bCs/>
          <w:color w:val="auto"/>
          <w:highlight w:val="none"/>
        </w:rPr>
      </w:pPr>
      <w:bookmarkStart w:id="5" w:name="_Toc120089504"/>
      <w:bookmarkStart w:id="6" w:name="_Toc126335755"/>
      <w:r>
        <w:rPr>
          <w:rFonts w:hint="eastAsia" w:hAnsi="宋体" w:cs="宋体"/>
          <w:b/>
          <w:bCs/>
          <w:color w:val="auto"/>
          <w:highlight w:val="none"/>
        </w:rPr>
        <w:t>2. 项目概况与招标范围</w:t>
      </w:r>
      <w:bookmarkEnd w:id="5"/>
      <w:bookmarkEnd w:id="6"/>
    </w:p>
    <w:p w14:paraId="77A6D9A3">
      <w:pPr>
        <w:adjustRightInd w:val="0"/>
        <w:snapToGrid w:val="0"/>
        <w:spacing w:line="572" w:lineRule="exact"/>
        <w:ind w:firstLine="480" w:firstLineChars="200"/>
        <w:rPr>
          <w:rFonts w:hAnsi="宋体" w:cs="宋体"/>
          <w:color w:val="auto"/>
          <w:highlight w:val="none"/>
          <w:u w:val="single"/>
        </w:rPr>
      </w:pPr>
      <w:r>
        <w:rPr>
          <w:rFonts w:hint="eastAsia" w:hAnsi="宋体" w:cs="宋体"/>
          <w:bCs/>
          <w:color w:val="auto"/>
          <w:szCs w:val="21"/>
          <w:highlight w:val="none"/>
        </w:rPr>
        <w:t>2.1 招标项目名称：</w:t>
      </w:r>
      <w:r>
        <w:rPr>
          <w:rFonts w:hint="eastAsia" w:hAnsi="宋体" w:cs="宋体"/>
          <w:bCs/>
          <w:color w:val="auto"/>
          <w:highlight w:val="none"/>
          <w:u w:val="single"/>
          <w:lang w:eastAsia="zh-CN"/>
        </w:rPr>
        <w:t>铜陵市郊区城镇污水处理设施提质增效工程污水管网CCTV检测项目</w:t>
      </w:r>
      <w:r>
        <w:rPr>
          <w:rFonts w:hint="eastAsia" w:hAnsi="宋体" w:cs="宋体"/>
          <w:color w:val="auto"/>
          <w:highlight w:val="none"/>
        </w:rPr>
        <w:t>；</w:t>
      </w:r>
    </w:p>
    <w:p w14:paraId="14A71F9E">
      <w:pPr>
        <w:adjustRightInd w:val="0"/>
        <w:snapToGrid w:val="0"/>
        <w:spacing w:line="572" w:lineRule="exact"/>
        <w:ind w:firstLine="480" w:firstLineChars="200"/>
        <w:rPr>
          <w:rFonts w:hAnsi="宋体" w:cs="宋体"/>
          <w:bCs/>
          <w:color w:val="auto"/>
          <w:highlight w:val="none"/>
          <w:u w:val="single"/>
        </w:rPr>
      </w:pPr>
      <w:r>
        <w:rPr>
          <w:rFonts w:hint="eastAsia" w:hAnsi="宋体" w:cs="宋体"/>
          <w:bCs/>
          <w:color w:val="auto"/>
          <w:highlight w:val="none"/>
        </w:rPr>
        <w:t>2.2 招标项目编号：</w:t>
      </w:r>
      <w:r>
        <w:rPr>
          <w:rFonts w:hint="eastAsia" w:hAnsi="宋体" w:cs="宋体"/>
          <w:bCs/>
          <w:color w:val="auto"/>
          <w:szCs w:val="21"/>
          <w:highlight w:val="none"/>
          <w:u w:val="single"/>
          <w:lang w:val="en-US" w:eastAsia="zh-CN"/>
        </w:rPr>
        <w:t>AHTJZB-2025012</w:t>
      </w:r>
      <w:r>
        <w:rPr>
          <w:rFonts w:hint="eastAsia" w:hAnsi="宋体" w:cs="宋体"/>
          <w:bCs/>
          <w:color w:val="auto"/>
          <w:highlight w:val="none"/>
          <w:u w:val="single"/>
        </w:rPr>
        <w:t>；</w:t>
      </w:r>
    </w:p>
    <w:p w14:paraId="138230DC">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rPr>
        <w:t>2.3 标段划分：</w:t>
      </w:r>
      <w:r>
        <w:rPr>
          <w:rFonts w:hint="eastAsia" w:hAnsi="宋体" w:cs="宋体"/>
          <w:color w:val="auto"/>
          <w:highlight w:val="none"/>
          <w:u w:val="single"/>
        </w:rPr>
        <w:t>一个标段</w:t>
      </w:r>
      <w:r>
        <w:rPr>
          <w:rFonts w:hint="eastAsia" w:hAnsi="宋体" w:cs="宋体"/>
          <w:color w:val="auto"/>
          <w:highlight w:val="none"/>
        </w:rPr>
        <w:t>；</w:t>
      </w:r>
    </w:p>
    <w:p w14:paraId="065D0101">
      <w:pPr>
        <w:adjustRightInd w:val="0"/>
        <w:snapToGrid w:val="0"/>
        <w:spacing w:line="572" w:lineRule="exact"/>
        <w:ind w:firstLine="480" w:firstLineChars="200"/>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t>2.</w:t>
      </w:r>
      <w:r>
        <w:rPr>
          <w:rFonts w:hint="eastAsia" w:hAnsi="宋体" w:cs="宋体"/>
          <w:bCs/>
          <w:color w:val="auto"/>
          <w:szCs w:val="21"/>
          <w:highlight w:val="none"/>
          <w:lang w:val="en-US" w:eastAsia="zh-CN"/>
        </w:rPr>
        <w:t>4</w:t>
      </w:r>
      <w:r>
        <w:rPr>
          <w:rFonts w:hint="eastAsia" w:ascii="宋体" w:hAnsi="宋体" w:eastAsia="宋体" w:cs="宋体"/>
          <w:bCs/>
          <w:color w:val="auto"/>
          <w:szCs w:val="21"/>
          <w:highlight w:val="none"/>
          <w:lang w:eastAsia="zh-CN"/>
        </w:rPr>
        <w:t xml:space="preserve"> 建设地点：铜陵</w:t>
      </w:r>
      <w:r>
        <w:rPr>
          <w:rFonts w:hint="eastAsia" w:ascii="宋体" w:hAnsi="宋体" w:eastAsia="宋体" w:cs="宋体"/>
          <w:bCs/>
          <w:color w:val="auto"/>
          <w:szCs w:val="21"/>
          <w:highlight w:val="none"/>
          <w:lang w:val="en-US" w:eastAsia="zh-CN"/>
        </w:rPr>
        <w:t>市</w:t>
      </w:r>
      <w:r>
        <w:rPr>
          <w:rFonts w:hint="eastAsia" w:hAnsi="宋体" w:cs="宋体"/>
          <w:bCs/>
          <w:color w:val="auto"/>
          <w:szCs w:val="21"/>
          <w:highlight w:val="none"/>
          <w:lang w:val="en-US" w:eastAsia="zh-CN"/>
        </w:rPr>
        <w:t>郊区</w:t>
      </w:r>
      <w:r>
        <w:rPr>
          <w:rFonts w:hint="eastAsia" w:ascii="宋体" w:hAnsi="宋体" w:eastAsia="宋体" w:cs="宋体"/>
          <w:bCs/>
          <w:color w:val="auto"/>
          <w:szCs w:val="21"/>
          <w:highlight w:val="none"/>
          <w:lang w:eastAsia="zh-CN"/>
        </w:rPr>
        <w:t>；</w:t>
      </w:r>
    </w:p>
    <w:p w14:paraId="0F689D7E">
      <w:pPr>
        <w:adjustRightInd w:val="0"/>
        <w:snapToGrid w:val="0"/>
        <w:spacing w:line="572" w:lineRule="exact"/>
        <w:ind w:firstLine="480" w:firstLineChars="200"/>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eastAsia="zh-CN"/>
        </w:rPr>
        <w:t>2.</w:t>
      </w:r>
      <w:r>
        <w:rPr>
          <w:rFonts w:hint="eastAsia" w:hAnsi="宋体" w:cs="宋体"/>
          <w:bCs/>
          <w:color w:val="auto"/>
          <w:szCs w:val="21"/>
          <w:highlight w:val="none"/>
          <w:lang w:val="en-US" w:eastAsia="zh-CN"/>
        </w:rPr>
        <w:t>5</w:t>
      </w:r>
      <w:r>
        <w:rPr>
          <w:rFonts w:hint="eastAsia" w:ascii="宋体" w:hAnsi="宋体" w:eastAsia="宋体" w:cs="宋体"/>
          <w:bCs/>
          <w:color w:val="auto"/>
          <w:szCs w:val="21"/>
          <w:highlight w:val="none"/>
          <w:lang w:eastAsia="zh-CN"/>
        </w:rPr>
        <w:t xml:space="preserve"> 建设规模：</w:t>
      </w:r>
      <w:r>
        <w:rPr>
          <w:rFonts w:hint="eastAsia" w:hAnsi="宋体" w:cs="宋体"/>
          <w:bCs/>
          <w:color w:val="auto"/>
          <w:szCs w:val="21"/>
          <w:highlight w:val="none"/>
        </w:rPr>
        <w:t>本项目为铜陵市郊区城镇污水处理设施提质增效工程污水管网CCTV检测项目</w:t>
      </w:r>
      <w:r>
        <w:rPr>
          <w:rFonts w:hint="eastAsia" w:hAnsi="宋体" w:cs="宋体"/>
          <w:bCs/>
          <w:color w:val="auto"/>
          <w:szCs w:val="21"/>
          <w:highlight w:val="none"/>
          <w:lang w:eastAsia="zh-CN"/>
        </w:rPr>
        <w:t>，</w:t>
      </w:r>
      <w:r>
        <w:rPr>
          <w:rFonts w:hint="eastAsia" w:hAnsi="宋体" w:cs="宋体"/>
          <w:bCs/>
          <w:color w:val="auto"/>
          <w:szCs w:val="21"/>
          <w:highlight w:val="none"/>
          <w:lang w:val="en-US" w:eastAsia="zh-CN"/>
        </w:rPr>
        <w:t>主要内容包括：</w:t>
      </w:r>
      <w:r>
        <w:rPr>
          <w:rFonts w:hint="eastAsia" w:hAnsi="宋体" w:cs="宋体"/>
          <w:bCs/>
          <w:color w:val="auto"/>
          <w:szCs w:val="21"/>
          <w:highlight w:val="none"/>
        </w:rPr>
        <w:t>1.已新建DN200污水管道及以上全长约31241m，待新建DN200管道及以上全长约16100m。主要工作内容包括对新建（含待建）管道及新建（含待建）检查井（含户线检查井、阀门井等排水附属设施）内部状况进行</w:t>
      </w:r>
      <w:r>
        <w:rPr>
          <w:rFonts w:hint="eastAsia" w:hAnsi="宋体" w:cs="宋体"/>
          <w:bCs/>
          <w:color w:val="auto"/>
          <w:szCs w:val="21"/>
          <w:highlight w:val="none"/>
          <w:lang w:val="en-US" w:eastAsia="zh-CN"/>
        </w:rPr>
        <w:t>清淤疏通及</w:t>
      </w:r>
      <w:r>
        <w:rPr>
          <w:rFonts w:hint="eastAsia" w:hAnsi="宋体" w:cs="宋体"/>
          <w:bCs/>
          <w:color w:val="auto"/>
          <w:szCs w:val="21"/>
          <w:highlight w:val="none"/>
        </w:rPr>
        <w:t>cctv检测并提供修复建议等内容，最终出具成果。成果报告包括但不限于项目评估报告，检查井内径、外径，内部检查状况、管道使用情况及问题情况以及详细的修复建议，并对成果准确度和方案合理性承担相应责任；注明相关管道及检查井</w:t>
      </w:r>
      <w:r>
        <w:rPr>
          <w:rFonts w:hint="eastAsia" w:hAnsi="宋体" w:cs="宋体"/>
          <w:bCs/>
          <w:color w:val="auto"/>
          <w:szCs w:val="21"/>
          <w:highlight w:val="none"/>
          <w:lang w:val="en-US" w:eastAsia="zh-CN"/>
        </w:rPr>
        <w:t>编号、</w:t>
      </w:r>
      <w:r>
        <w:rPr>
          <w:rFonts w:hint="eastAsia" w:hAnsi="宋体" w:cs="宋体"/>
          <w:bCs/>
          <w:color w:val="auto"/>
          <w:szCs w:val="21"/>
          <w:highlight w:val="none"/>
        </w:rPr>
        <w:t>坐标</w:t>
      </w:r>
      <w:r>
        <w:rPr>
          <w:rFonts w:hint="eastAsia" w:hAnsi="宋体" w:cs="宋体"/>
          <w:bCs/>
          <w:color w:val="auto"/>
          <w:szCs w:val="21"/>
          <w:highlight w:val="none"/>
          <w:lang w:val="en-US" w:eastAsia="zh-CN"/>
        </w:rPr>
        <w:t>、</w:t>
      </w:r>
      <w:r>
        <w:rPr>
          <w:rFonts w:hint="eastAsia" w:hAnsi="宋体" w:cs="宋体"/>
          <w:bCs/>
          <w:color w:val="auto"/>
          <w:szCs w:val="21"/>
          <w:highlight w:val="none"/>
        </w:rPr>
        <w:t>内径、长度、</w:t>
      </w:r>
      <w:r>
        <w:rPr>
          <w:rFonts w:hint="eastAsia" w:hAnsi="宋体" w:cs="宋体"/>
          <w:bCs/>
          <w:color w:val="auto"/>
          <w:szCs w:val="21"/>
          <w:highlight w:val="none"/>
          <w:lang w:eastAsia="zh-CN"/>
        </w:rPr>
        <w:t>高程</w:t>
      </w:r>
      <w:r>
        <w:rPr>
          <w:rFonts w:hint="eastAsia" w:hAnsi="宋体" w:cs="宋体"/>
          <w:bCs/>
          <w:color w:val="auto"/>
          <w:szCs w:val="21"/>
          <w:highlight w:val="none"/>
        </w:rPr>
        <w:t>、埋深、管材、管径、流向等具体</w:t>
      </w:r>
      <w:r>
        <w:rPr>
          <w:rFonts w:hint="eastAsia" w:hAnsi="宋体" w:cs="宋体"/>
          <w:bCs/>
          <w:color w:val="auto"/>
          <w:szCs w:val="21"/>
          <w:highlight w:val="none"/>
          <w:lang w:eastAsia="zh-CN"/>
        </w:rPr>
        <w:t>管网测绘图；</w:t>
      </w:r>
      <w:r>
        <w:rPr>
          <w:rFonts w:hint="eastAsia" w:hAnsi="宋体" w:cs="宋体"/>
          <w:bCs/>
          <w:color w:val="auto"/>
          <w:szCs w:val="21"/>
          <w:highlight w:val="none"/>
        </w:rPr>
        <w:t>2.新建及待建的排水户建筑单体立管、</w:t>
      </w:r>
      <w:r>
        <w:rPr>
          <w:rFonts w:hint="eastAsia" w:hAnsi="宋体" w:cs="宋体"/>
          <w:bCs/>
          <w:color w:val="auto"/>
          <w:szCs w:val="21"/>
          <w:highlight w:val="none"/>
          <w:lang w:eastAsia="zh-CN"/>
        </w:rPr>
        <w:t>出户管等，</w:t>
      </w:r>
      <w:r>
        <w:rPr>
          <w:rFonts w:hint="eastAsia" w:hAnsi="宋体" w:cs="宋体"/>
          <w:bCs/>
          <w:color w:val="auto"/>
          <w:szCs w:val="21"/>
          <w:highlight w:val="none"/>
        </w:rPr>
        <w:t>直径 DN200以下的管网（约21000m</w:t>
      </w:r>
      <w:r>
        <w:rPr>
          <w:rFonts w:hint="eastAsia" w:hAnsi="宋体" w:cs="宋体"/>
          <w:bCs/>
          <w:color w:val="auto"/>
          <w:szCs w:val="21"/>
          <w:highlight w:val="none"/>
          <w:lang w:val="en-US" w:eastAsia="zh-CN"/>
        </w:rPr>
        <w:t>具体以现场实际工程量为准</w:t>
      </w:r>
      <w:r>
        <w:rPr>
          <w:rFonts w:hint="eastAsia" w:hAnsi="宋体" w:cs="宋体"/>
          <w:bCs/>
          <w:color w:val="auto"/>
          <w:szCs w:val="21"/>
          <w:highlight w:val="none"/>
        </w:rPr>
        <w:t>）不计入cctv检测，但需测绘并提供</w:t>
      </w:r>
      <w:r>
        <w:rPr>
          <w:rFonts w:hint="eastAsia" w:hAnsi="宋体" w:cs="宋体"/>
          <w:bCs/>
          <w:color w:val="auto"/>
          <w:szCs w:val="21"/>
          <w:highlight w:val="none"/>
          <w:lang w:val="en-US" w:eastAsia="zh-CN"/>
        </w:rPr>
        <w:t>编号、</w:t>
      </w:r>
      <w:r>
        <w:rPr>
          <w:rFonts w:hint="eastAsia" w:hAnsi="宋体" w:cs="宋体"/>
          <w:bCs/>
          <w:color w:val="auto"/>
          <w:szCs w:val="21"/>
          <w:highlight w:val="none"/>
        </w:rPr>
        <w:t>管径、流向、</w:t>
      </w:r>
      <w:r>
        <w:rPr>
          <w:rFonts w:hint="eastAsia" w:hAnsi="宋体" w:cs="宋体"/>
          <w:bCs/>
          <w:color w:val="auto"/>
          <w:szCs w:val="21"/>
          <w:highlight w:val="none"/>
          <w:lang w:val="en-US" w:eastAsia="zh-CN"/>
        </w:rPr>
        <w:t>埋深、</w:t>
      </w:r>
      <w:r>
        <w:rPr>
          <w:rFonts w:hint="eastAsia" w:hAnsi="宋体" w:cs="宋体"/>
          <w:bCs/>
          <w:color w:val="auto"/>
          <w:szCs w:val="21"/>
          <w:highlight w:val="none"/>
          <w:lang w:eastAsia="zh-CN"/>
        </w:rPr>
        <w:t>高程</w:t>
      </w:r>
      <w:r>
        <w:rPr>
          <w:rFonts w:hint="eastAsia" w:hAnsi="宋体" w:cs="宋体"/>
          <w:bCs/>
          <w:color w:val="auto"/>
          <w:szCs w:val="21"/>
          <w:highlight w:val="none"/>
        </w:rPr>
        <w:t>、管材、长度等详细的</w:t>
      </w:r>
      <w:r>
        <w:rPr>
          <w:rFonts w:hint="eastAsia" w:hAnsi="宋体" w:cs="宋体"/>
          <w:bCs/>
          <w:color w:val="auto"/>
          <w:szCs w:val="21"/>
          <w:highlight w:val="none"/>
          <w:lang w:eastAsia="zh-CN"/>
        </w:rPr>
        <w:t>管网测绘图</w:t>
      </w:r>
      <w:r>
        <w:rPr>
          <w:rFonts w:hint="eastAsia" w:hAnsi="宋体" w:cs="宋体"/>
          <w:bCs/>
          <w:color w:val="auto"/>
          <w:szCs w:val="21"/>
          <w:highlight w:val="none"/>
        </w:rPr>
        <w:t>。</w:t>
      </w:r>
    </w:p>
    <w:p w14:paraId="2C6D747B">
      <w:pPr>
        <w:adjustRightInd w:val="0"/>
        <w:snapToGrid w:val="0"/>
        <w:spacing w:line="572" w:lineRule="exact"/>
        <w:ind w:firstLine="480" w:firstLineChars="200"/>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eastAsia="zh-CN"/>
        </w:rPr>
        <w:t>2.</w:t>
      </w:r>
      <w:r>
        <w:rPr>
          <w:rFonts w:hint="eastAsia" w:hAnsi="宋体" w:cs="宋体"/>
          <w:bCs/>
          <w:color w:val="auto"/>
          <w:szCs w:val="21"/>
          <w:highlight w:val="none"/>
          <w:lang w:val="en-US" w:eastAsia="zh-CN"/>
        </w:rPr>
        <w:t>6</w:t>
      </w:r>
      <w:r>
        <w:rPr>
          <w:rFonts w:hint="eastAsia" w:ascii="宋体" w:hAnsi="宋体" w:eastAsia="宋体" w:cs="宋体"/>
          <w:bCs/>
          <w:color w:val="auto"/>
          <w:szCs w:val="21"/>
          <w:highlight w:val="none"/>
          <w:lang w:eastAsia="zh-CN"/>
        </w:rPr>
        <w:t xml:space="preserve"> 合同估算价：最高投标限价</w:t>
      </w:r>
      <w:r>
        <w:rPr>
          <w:rFonts w:hint="eastAsia" w:hAnsi="宋体" w:cs="宋体"/>
          <w:bCs/>
          <w:color w:val="auto"/>
          <w:szCs w:val="21"/>
          <w:highlight w:val="none"/>
          <w:lang w:val="en-US" w:eastAsia="zh-CN"/>
        </w:rPr>
        <w:t>946820</w:t>
      </w:r>
      <w:r>
        <w:rPr>
          <w:rFonts w:hint="eastAsia" w:ascii="宋体" w:hAnsi="宋体" w:eastAsia="宋体" w:cs="宋体"/>
          <w:bCs/>
          <w:color w:val="auto"/>
          <w:szCs w:val="21"/>
          <w:highlight w:val="none"/>
          <w:lang w:eastAsia="zh-CN"/>
        </w:rPr>
        <w:t>元；</w:t>
      </w:r>
    </w:p>
    <w:p w14:paraId="7D5E4C29">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rPr>
        <w:t>2.</w:t>
      </w:r>
      <w:r>
        <w:rPr>
          <w:rFonts w:hint="eastAsia" w:hAnsi="宋体" w:cs="宋体"/>
          <w:bCs/>
          <w:color w:val="auto"/>
          <w:szCs w:val="21"/>
          <w:highlight w:val="none"/>
          <w:lang w:val="en-US" w:eastAsia="zh-CN"/>
        </w:rPr>
        <w:t>7</w:t>
      </w:r>
      <w:r>
        <w:rPr>
          <w:rFonts w:hint="eastAsia" w:hAnsi="宋体" w:cs="宋体"/>
          <w:bCs/>
          <w:color w:val="auto"/>
          <w:szCs w:val="21"/>
          <w:highlight w:val="none"/>
        </w:rPr>
        <w:t xml:space="preserve"> 计划工期：</w:t>
      </w:r>
      <w:r>
        <w:rPr>
          <w:rFonts w:hint="eastAsia" w:hAnsi="宋体" w:cs="宋体"/>
          <w:bCs/>
          <w:color w:val="auto"/>
          <w:szCs w:val="21"/>
          <w:highlight w:val="none"/>
          <w:lang w:val="en-US" w:eastAsia="zh-CN"/>
        </w:rPr>
        <w:t>40</w:t>
      </w:r>
      <w:r>
        <w:rPr>
          <w:rFonts w:hint="eastAsia" w:hAnsi="宋体" w:cs="宋体"/>
          <w:bCs/>
          <w:color w:val="auto"/>
          <w:szCs w:val="21"/>
          <w:highlight w:val="none"/>
          <w:lang w:eastAsia="zh-CN"/>
        </w:rPr>
        <w:t>日历天，即已新建管网与待新建管网分别接到招标人通知之日起40日历天内出具成果报告。</w:t>
      </w:r>
    </w:p>
    <w:p w14:paraId="7C309989">
      <w:pPr>
        <w:adjustRightInd w:val="0"/>
        <w:snapToGrid w:val="0"/>
        <w:spacing w:line="572" w:lineRule="exact"/>
        <w:ind w:firstLine="488" w:firstLineChars="200"/>
        <w:rPr>
          <w:rFonts w:hint="eastAsia" w:hAnsi="宋体" w:cs="宋体"/>
          <w:bCs/>
          <w:color w:val="auto"/>
          <w:szCs w:val="21"/>
          <w:highlight w:val="none"/>
        </w:rPr>
      </w:pPr>
      <w:r>
        <w:rPr>
          <w:rFonts w:hint="eastAsia" w:hAnsi="宋体" w:cs="宋体"/>
          <w:color w:val="auto"/>
          <w:spacing w:val="2"/>
          <w:highlight w:val="none"/>
        </w:rPr>
        <w:t>2.</w:t>
      </w:r>
      <w:r>
        <w:rPr>
          <w:rFonts w:hint="eastAsia" w:hAnsi="宋体" w:cs="宋体"/>
          <w:color w:val="auto"/>
          <w:spacing w:val="2"/>
          <w:highlight w:val="none"/>
          <w:lang w:val="en-US" w:eastAsia="zh-CN"/>
        </w:rPr>
        <w:t>8</w:t>
      </w:r>
      <w:r>
        <w:rPr>
          <w:rFonts w:hint="eastAsia" w:hAnsi="宋体" w:cs="宋体"/>
          <w:color w:val="auto"/>
          <w:spacing w:val="2"/>
          <w:highlight w:val="none"/>
        </w:rPr>
        <w:t xml:space="preserve"> 招标范围：</w:t>
      </w:r>
      <w:r>
        <w:rPr>
          <w:rFonts w:hint="eastAsia" w:ascii="宋体" w:hAnsi="宋体" w:eastAsia="宋体" w:cs="宋体"/>
          <w:bCs/>
          <w:color w:val="auto"/>
          <w:szCs w:val="21"/>
          <w:highlight w:val="none"/>
          <w:lang w:val="en-US" w:eastAsia="zh-CN"/>
        </w:rPr>
        <w:t>主要工作内容包括</w:t>
      </w:r>
      <w:r>
        <w:rPr>
          <w:rFonts w:hint="eastAsia" w:hAnsi="宋体" w:cs="宋体"/>
          <w:bCs/>
          <w:color w:val="auto"/>
          <w:szCs w:val="21"/>
          <w:highlight w:val="none"/>
          <w:lang w:val="en-US" w:eastAsia="zh-CN"/>
        </w:rPr>
        <w:t>：</w:t>
      </w:r>
      <w:r>
        <w:rPr>
          <w:rFonts w:hint="eastAsia" w:hAnsi="宋体" w:cs="宋体"/>
          <w:bCs/>
          <w:color w:val="auto"/>
          <w:szCs w:val="21"/>
          <w:highlight w:val="none"/>
        </w:rPr>
        <w:t>1.已新建DN200污水管道及以上全长约31241m，待新建DN200管道及以上全长约16100m。主要工作内容包括对新建（含待建）管道及新建（含待建）检查井（含户线检查井、阀门井等排水附属设施）内部状况进行</w:t>
      </w:r>
      <w:r>
        <w:rPr>
          <w:rFonts w:hint="eastAsia" w:hAnsi="宋体" w:cs="宋体"/>
          <w:bCs/>
          <w:color w:val="auto"/>
          <w:szCs w:val="21"/>
          <w:highlight w:val="none"/>
          <w:lang w:val="en-US" w:eastAsia="zh-CN"/>
        </w:rPr>
        <w:t>清淤疏通及</w:t>
      </w:r>
      <w:r>
        <w:rPr>
          <w:rFonts w:hint="eastAsia" w:hAnsi="宋体" w:cs="宋体"/>
          <w:bCs/>
          <w:color w:val="auto"/>
          <w:szCs w:val="21"/>
          <w:highlight w:val="none"/>
        </w:rPr>
        <w:t>cctv检测并提供修复建议等内容，最终出具成果。成果报告包括但不限于项目评估报告，检查井内径、外径，内部检查状况、管道使用情况及问题情况以及详细的修复建议，并对成果准确度和方案合理性承担相应责任；注明相关管道及检查井</w:t>
      </w:r>
      <w:r>
        <w:rPr>
          <w:rFonts w:hint="eastAsia" w:hAnsi="宋体" w:cs="宋体"/>
          <w:bCs/>
          <w:color w:val="auto"/>
          <w:szCs w:val="21"/>
          <w:highlight w:val="none"/>
          <w:lang w:val="en-US" w:eastAsia="zh-CN"/>
        </w:rPr>
        <w:t>编号、</w:t>
      </w:r>
      <w:r>
        <w:rPr>
          <w:rFonts w:hint="eastAsia" w:hAnsi="宋体" w:cs="宋体"/>
          <w:bCs/>
          <w:color w:val="auto"/>
          <w:szCs w:val="21"/>
          <w:highlight w:val="none"/>
        </w:rPr>
        <w:t>坐标、内径、长度、</w:t>
      </w:r>
      <w:r>
        <w:rPr>
          <w:rFonts w:hint="eastAsia" w:hAnsi="宋体" w:cs="宋体"/>
          <w:bCs/>
          <w:color w:val="auto"/>
          <w:szCs w:val="21"/>
          <w:highlight w:val="none"/>
          <w:lang w:eastAsia="zh-CN"/>
        </w:rPr>
        <w:t>高程</w:t>
      </w:r>
      <w:r>
        <w:rPr>
          <w:rFonts w:hint="eastAsia" w:hAnsi="宋体" w:cs="宋体"/>
          <w:bCs/>
          <w:color w:val="auto"/>
          <w:szCs w:val="21"/>
          <w:highlight w:val="none"/>
        </w:rPr>
        <w:t>、埋深、管材、管径、流向等具体</w:t>
      </w:r>
      <w:r>
        <w:rPr>
          <w:rFonts w:hint="eastAsia" w:hAnsi="宋体" w:cs="宋体"/>
          <w:bCs/>
          <w:color w:val="auto"/>
          <w:szCs w:val="21"/>
          <w:highlight w:val="none"/>
          <w:lang w:eastAsia="zh-CN"/>
        </w:rPr>
        <w:t>管网测绘图；</w:t>
      </w:r>
      <w:r>
        <w:rPr>
          <w:rFonts w:hint="eastAsia" w:hAnsi="宋体" w:cs="宋体"/>
          <w:bCs/>
          <w:color w:val="auto"/>
          <w:szCs w:val="21"/>
          <w:highlight w:val="none"/>
        </w:rPr>
        <w:t>2.新建及待建的排水户建筑单体立管、</w:t>
      </w:r>
      <w:r>
        <w:rPr>
          <w:rFonts w:hint="eastAsia" w:hAnsi="宋体" w:cs="宋体"/>
          <w:bCs/>
          <w:color w:val="auto"/>
          <w:szCs w:val="21"/>
          <w:highlight w:val="none"/>
          <w:lang w:eastAsia="zh-CN"/>
        </w:rPr>
        <w:t>出户管等，</w:t>
      </w:r>
      <w:r>
        <w:rPr>
          <w:rFonts w:hint="eastAsia" w:hAnsi="宋体" w:cs="宋体"/>
          <w:bCs/>
          <w:color w:val="auto"/>
          <w:szCs w:val="21"/>
          <w:highlight w:val="none"/>
        </w:rPr>
        <w:t>直径 DN200以下的管网</w:t>
      </w:r>
      <w:r>
        <w:rPr>
          <w:rFonts w:hint="eastAsia" w:hAnsi="宋体" w:cs="宋体"/>
          <w:bCs/>
          <w:color w:val="auto"/>
          <w:szCs w:val="21"/>
          <w:highlight w:val="none"/>
          <w:lang w:eastAsia="zh-CN"/>
        </w:rPr>
        <w:t>（约21000m具体以现场实际工程量为准）</w:t>
      </w:r>
      <w:r>
        <w:rPr>
          <w:rFonts w:hint="eastAsia" w:hAnsi="宋体" w:cs="宋体"/>
          <w:bCs/>
          <w:color w:val="auto"/>
          <w:szCs w:val="21"/>
          <w:highlight w:val="none"/>
        </w:rPr>
        <w:t>不计入cctv检测，但需测绘并提供</w:t>
      </w:r>
      <w:r>
        <w:rPr>
          <w:rFonts w:hint="eastAsia" w:hAnsi="宋体" w:cs="宋体"/>
          <w:bCs/>
          <w:color w:val="auto"/>
          <w:szCs w:val="21"/>
          <w:highlight w:val="none"/>
          <w:lang w:val="en-US" w:eastAsia="zh-CN"/>
        </w:rPr>
        <w:t>编号、</w:t>
      </w:r>
      <w:r>
        <w:rPr>
          <w:rFonts w:hint="eastAsia" w:hAnsi="宋体" w:cs="宋体"/>
          <w:bCs/>
          <w:color w:val="auto"/>
          <w:szCs w:val="21"/>
          <w:highlight w:val="none"/>
        </w:rPr>
        <w:t>管径、流向、</w:t>
      </w:r>
      <w:r>
        <w:rPr>
          <w:rFonts w:hint="eastAsia" w:hAnsi="宋体" w:cs="宋体"/>
          <w:bCs/>
          <w:color w:val="auto"/>
          <w:szCs w:val="21"/>
          <w:highlight w:val="none"/>
          <w:lang w:val="en-US" w:eastAsia="zh-CN"/>
        </w:rPr>
        <w:t>埋深、</w:t>
      </w:r>
      <w:r>
        <w:rPr>
          <w:rFonts w:hint="eastAsia" w:hAnsi="宋体" w:cs="宋体"/>
          <w:bCs/>
          <w:color w:val="auto"/>
          <w:szCs w:val="21"/>
          <w:highlight w:val="none"/>
          <w:lang w:eastAsia="zh-CN"/>
        </w:rPr>
        <w:t>高程</w:t>
      </w:r>
      <w:r>
        <w:rPr>
          <w:rFonts w:hint="eastAsia" w:hAnsi="宋体" w:cs="宋体"/>
          <w:bCs/>
          <w:color w:val="auto"/>
          <w:szCs w:val="21"/>
          <w:highlight w:val="none"/>
        </w:rPr>
        <w:t>、管材、长度等详细的</w:t>
      </w:r>
      <w:r>
        <w:rPr>
          <w:rFonts w:hint="eastAsia" w:hAnsi="宋体" w:cs="宋体"/>
          <w:bCs/>
          <w:color w:val="auto"/>
          <w:szCs w:val="21"/>
          <w:highlight w:val="none"/>
          <w:lang w:eastAsia="zh-CN"/>
        </w:rPr>
        <w:t>管网测绘图</w:t>
      </w:r>
      <w:r>
        <w:rPr>
          <w:rFonts w:hint="eastAsia" w:hAnsi="宋体" w:cs="宋体"/>
          <w:bCs/>
          <w:color w:val="auto"/>
          <w:szCs w:val="21"/>
          <w:highlight w:val="none"/>
        </w:rPr>
        <w:t>。</w:t>
      </w:r>
    </w:p>
    <w:p w14:paraId="2B620CE0">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rPr>
        <w:t>2.</w:t>
      </w:r>
      <w:r>
        <w:rPr>
          <w:rFonts w:hint="eastAsia" w:hAnsi="宋体" w:cs="宋体"/>
          <w:bCs/>
          <w:color w:val="auto"/>
          <w:szCs w:val="21"/>
          <w:highlight w:val="none"/>
          <w:lang w:val="en-US" w:eastAsia="zh-CN"/>
        </w:rPr>
        <w:t>9</w:t>
      </w:r>
      <w:r>
        <w:rPr>
          <w:rFonts w:hint="eastAsia" w:hAnsi="宋体" w:cs="宋体"/>
          <w:bCs/>
          <w:color w:val="auto"/>
          <w:szCs w:val="21"/>
          <w:highlight w:val="none"/>
        </w:rPr>
        <w:t xml:space="preserve"> 项目类别：</w:t>
      </w:r>
      <w:r>
        <w:rPr>
          <w:rFonts w:hint="eastAsia" w:hAnsi="宋体" w:cs="宋体"/>
          <w:color w:val="auto"/>
          <w:highlight w:val="none"/>
          <w:u w:val="single"/>
        </w:rPr>
        <w:t>工程服务</w:t>
      </w:r>
      <w:r>
        <w:rPr>
          <w:rFonts w:hint="eastAsia" w:hAnsi="宋体" w:cs="宋体"/>
          <w:color w:val="auto"/>
          <w:highlight w:val="none"/>
        </w:rPr>
        <w:t>；</w:t>
      </w:r>
    </w:p>
    <w:p w14:paraId="146DF498">
      <w:pPr>
        <w:adjustRightInd w:val="0"/>
        <w:snapToGrid w:val="0"/>
        <w:spacing w:line="572" w:lineRule="exact"/>
        <w:outlineLvl w:val="1"/>
        <w:rPr>
          <w:rFonts w:hAnsi="宋体" w:cs="宋体"/>
          <w:b/>
          <w:bCs/>
          <w:color w:val="auto"/>
          <w:highlight w:val="none"/>
        </w:rPr>
      </w:pPr>
      <w:bookmarkStart w:id="7" w:name="_Toc120089505"/>
      <w:bookmarkStart w:id="8" w:name="_Toc126335756"/>
      <w:r>
        <w:rPr>
          <w:rFonts w:hint="eastAsia" w:hAnsi="宋体" w:cs="宋体"/>
          <w:b/>
          <w:bCs/>
          <w:color w:val="auto"/>
          <w:highlight w:val="none"/>
        </w:rPr>
        <w:t>3. 投标人资格要求</w:t>
      </w:r>
      <w:bookmarkEnd w:id="7"/>
      <w:bookmarkEnd w:id="8"/>
    </w:p>
    <w:p w14:paraId="272B4B11">
      <w:pPr>
        <w:adjustRightInd w:val="0"/>
        <w:snapToGrid w:val="0"/>
        <w:spacing w:line="572" w:lineRule="exact"/>
        <w:ind w:firstLine="480" w:firstLineChars="200"/>
        <w:rPr>
          <w:rFonts w:hint="default" w:hAnsi="宋体" w:eastAsia="宋体" w:cs="宋体"/>
          <w:bCs/>
          <w:color w:val="auto"/>
          <w:szCs w:val="21"/>
          <w:highlight w:val="none"/>
          <w:lang w:val="en-US" w:eastAsia="zh-CN"/>
        </w:rPr>
      </w:pPr>
      <w:r>
        <w:rPr>
          <w:rFonts w:hint="eastAsia" w:hAnsi="宋体" w:cs="宋体"/>
          <w:bCs/>
          <w:color w:val="auto"/>
          <w:szCs w:val="21"/>
          <w:highlight w:val="none"/>
        </w:rPr>
        <w:t xml:space="preserve">3.1 </w:t>
      </w:r>
      <w:r>
        <w:rPr>
          <w:rFonts w:hint="eastAsia" w:hAnsi="宋体" w:cs="宋体"/>
          <w:color w:val="auto"/>
          <w:spacing w:val="2"/>
          <w:highlight w:val="none"/>
        </w:rPr>
        <w:t>投标人资质要求：</w:t>
      </w:r>
      <w:r>
        <w:rPr>
          <w:rFonts w:hint="eastAsia" w:hAnsi="宋体" w:cs="宋体"/>
          <w:color w:val="auto"/>
          <w:spacing w:val="2"/>
          <w:highlight w:val="none"/>
          <w:lang w:val="en-US" w:eastAsia="zh-CN"/>
        </w:rPr>
        <w:t>具有省级及以上市场监督管理部门颁发的CMA检验检测机构资质认定证书；</w:t>
      </w:r>
    </w:p>
    <w:p w14:paraId="3FEAF54B">
      <w:pPr>
        <w:adjustRightInd w:val="0"/>
        <w:snapToGrid w:val="0"/>
        <w:spacing w:line="572" w:lineRule="exact"/>
        <w:ind w:firstLine="488" w:firstLineChars="200"/>
        <w:rPr>
          <w:rFonts w:hint="eastAsia" w:hAnsi="宋体" w:cs="宋体"/>
          <w:color w:val="auto"/>
          <w:spacing w:val="2"/>
          <w:highlight w:val="none"/>
        </w:rPr>
      </w:pPr>
      <w:r>
        <w:rPr>
          <w:rFonts w:hint="eastAsia" w:hAnsi="宋体" w:cs="宋体"/>
          <w:color w:val="auto"/>
          <w:spacing w:val="2"/>
          <w:highlight w:val="none"/>
        </w:rPr>
        <w:t>3.2 投标人业绩要求：投标人自20</w:t>
      </w:r>
      <w:r>
        <w:rPr>
          <w:rFonts w:hint="eastAsia" w:hAnsi="宋体" w:cs="宋体"/>
          <w:color w:val="auto"/>
          <w:spacing w:val="2"/>
          <w:highlight w:val="none"/>
          <w:lang w:val="en-US" w:eastAsia="zh-CN"/>
        </w:rPr>
        <w:t>20</w:t>
      </w:r>
      <w:r>
        <w:rPr>
          <w:rFonts w:hint="eastAsia" w:hAnsi="宋体" w:cs="宋体"/>
          <w:color w:val="auto"/>
          <w:spacing w:val="2"/>
          <w:highlight w:val="none"/>
        </w:rPr>
        <w:t>年1月1日以来（以合同签订时间为准），</w:t>
      </w:r>
      <w:r>
        <w:rPr>
          <w:rFonts w:hint="eastAsia" w:hAnsi="宋体" w:cs="宋体"/>
          <w:color w:val="auto"/>
          <w:spacing w:val="2"/>
          <w:highlight w:val="none"/>
          <w:lang w:val="en-US" w:eastAsia="zh-CN"/>
        </w:rPr>
        <w:t>须完成过一项</w:t>
      </w:r>
      <w:r>
        <w:rPr>
          <w:rFonts w:hint="eastAsia" w:hAnsi="宋体" w:cs="宋体"/>
          <w:color w:val="auto"/>
          <w:spacing w:val="2"/>
          <w:highlight w:val="none"/>
        </w:rPr>
        <w:t>管网</w:t>
      </w:r>
      <w:r>
        <w:rPr>
          <w:rFonts w:hint="eastAsia" w:ascii="宋体" w:hAnsi="宋体" w:eastAsia="宋体"/>
          <w:b w:val="0"/>
          <w:color w:val="auto"/>
          <w:sz w:val="24"/>
          <w:highlight w:val="none"/>
        </w:rPr>
        <w:t>CCTV（或QV）</w:t>
      </w:r>
      <w:r>
        <w:rPr>
          <w:rFonts w:hint="eastAsia" w:hAnsi="宋体" w:cs="宋体"/>
          <w:color w:val="auto"/>
          <w:spacing w:val="2"/>
          <w:highlight w:val="none"/>
        </w:rPr>
        <w:t>检测项目业绩。注：提供有效的业绩合同</w:t>
      </w:r>
      <w:r>
        <w:rPr>
          <w:rFonts w:hint="eastAsia" w:ascii="宋体" w:hAnsi="宋体" w:eastAsia="宋体"/>
          <w:bCs w:val="0"/>
          <w:color w:val="auto"/>
          <w:sz w:val="24"/>
          <w:highlight w:val="none"/>
        </w:rPr>
        <w:t>和</w:t>
      </w:r>
      <w:r>
        <w:rPr>
          <w:rFonts w:hint="eastAsia" w:hAnsi="宋体" w:cs="宋体"/>
          <w:color w:val="auto"/>
          <w:spacing w:val="2"/>
          <w:highlight w:val="none"/>
        </w:rPr>
        <w:t>验收证明【如</w:t>
      </w:r>
      <w:r>
        <w:rPr>
          <w:rFonts w:hint="eastAsia" w:hAnsi="宋体" w:cs="宋体"/>
          <w:color w:val="auto"/>
          <w:spacing w:val="2"/>
          <w:highlight w:val="none"/>
          <w:lang w:val="en-US" w:eastAsia="zh-CN"/>
        </w:rPr>
        <w:t>验收</w:t>
      </w:r>
      <w:r>
        <w:rPr>
          <w:rFonts w:hint="eastAsia" w:hAnsi="宋体" w:cs="宋体"/>
          <w:color w:val="auto"/>
          <w:spacing w:val="2"/>
          <w:highlight w:val="none"/>
        </w:rPr>
        <w:t>报告或业主单位（或合同甲方）出具的证明材料等</w:t>
      </w:r>
      <w:r>
        <w:rPr>
          <w:rFonts w:hint="eastAsia" w:hAnsi="宋体" w:cs="宋体"/>
          <w:color w:val="auto"/>
          <w:spacing w:val="2"/>
          <w:highlight w:val="none"/>
          <w:lang w:eastAsia="zh-CN"/>
        </w:rPr>
        <w:t>】</w:t>
      </w:r>
      <w:r>
        <w:rPr>
          <w:rFonts w:hint="eastAsia" w:hAnsi="宋体" w:cs="宋体"/>
          <w:color w:val="auto"/>
          <w:spacing w:val="2"/>
          <w:highlight w:val="none"/>
        </w:rPr>
        <w:t>，业绩合同须体现管网CCTV（</w:t>
      </w:r>
      <w:r>
        <w:rPr>
          <w:rFonts w:hint="eastAsia" w:ascii="宋体" w:hAnsi="宋体" w:eastAsia="宋体"/>
          <w:b w:val="0"/>
          <w:color w:val="auto"/>
          <w:sz w:val="24"/>
          <w:highlight w:val="none"/>
        </w:rPr>
        <w:t>或QV）</w:t>
      </w:r>
      <w:r>
        <w:rPr>
          <w:rFonts w:hint="eastAsia" w:hAnsi="宋体" w:cs="宋体"/>
          <w:color w:val="auto"/>
          <w:spacing w:val="2"/>
          <w:highlight w:val="none"/>
        </w:rPr>
        <w:t>检测</w:t>
      </w:r>
      <w:r>
        <w:rPr>
          <w:rFonts w:hint="eastAsia" w:hAnsi="宋体" w:cs="宋体"/>
          <w:color w:val="auto"/>
          <w:spacing w:val="2"/>
          <w:highlight w:val="none"/>
          <w:lang w:val="en-US" w:eastAsia="zh-CN"/>
        </w:rPr>
        <w:t>工作内容</w:t>
      </w:r>
      <w:r>
        <w:rPr>
          <w:rFonts w:hint="eastAsia" w:hAnsi="宋体" w:cs="宋体"/>
          <w:color w:val="auto"/>
          <w:spacing w:val="2"/>
          <w:highlight w:val="none"/>
        </w:rPr>
        <w:t>，如若合同内未能体现，需提供业主盖章的证明材料，否则不与认可。</w:t>
      </w:r>
    </w:p>
    <w:p w14:paraId="756B09ED">
      <w:pPr>
        <w:adjustRightInd w:val="0"/>
        <w:snapToGrid w:val="0"/>
        <w:spacing w:line="572" w:lineRule="exact"/>
        <w:ind w:firstLine="480" w:firstLineChars="200"/>
        <w:jc w:val="left"/>
        <w:rPr>
          <w:rFonts w:hAnsi="宋体" w:cs="宋体"/>
          <w:color w:val="auto"/>
          <w:highlight w:val="none"/>
        </w:rPr>
      </w:pPr>
      <w:r>
        <w:rPr>
          <w:rFonts w:hint="eastAsia" w:hAnsi="宋体" w:cs="宋体"/>
          <w:bCs/>
          <w:color w:val="auto"/>
          <w:szCs w:val="21"/>
          <w:highlight w:val="none"/>
        </w:rPr>
        <w:t>3.3 项目负责人资格要求：无</w:t>
      </w:r>
      <w:r>
        <w:rPr>
          <w:rFonts w:hint="eastAsia" w:hAnsi="宋体" w:cs="宋体"/>
          <w:color w:val="auto"/>
          <w:highlight w:val="none"/>
        </w:rPr>
        <w:t>。</w:t>
      </w:r>
    </w:p>
    <w:p w14:paraId="7B2EE8FD">
      <w:pPr>
        <w:widowControl/>
        <w:spacing w:line="576" w:lineRule="atLeast"/>
        <w:ind w:firstLine="480" w:firstLineChars="200"/>
        <w:rPr>
          <w:rFonts w:hAnsi="宋体" w:cs="宋体"/>
          <w:bCs/>
          <w:color w:val="auto"/>
          <w:szCs w:val="21"/>
          <w:highlight w:val="none"/>
        </w:rPr>
      </w:pPr>
      <w:r>
        <w:rPr>
          <w:rFonts w:hint="eastAsia" w:hAnsi="宋体" w:cs="宋体"/>
          <w:bCs/>
          <w:color w:val="auto"/>
          <w:szCs w:val="21"/>
          <w:highlight w:val="none"/>
        </w:rPr>
        <w:t>3.4 项目负责人业绩要求：</w:t>
      </w:r>
      <w:r>
        <w:rPr>
          <w:rFonts w:hint="eastAsia" w:hAnsi="宋体" w:cs="宋体"/>
          <w:bCs/>
          <w:color w:val="auto"/>
          <w:szCs w:val="21"/>
          <w:highlight w:val="none"/>
          <w:u w:val="single"/>
        </w:rPr>
        <w:t>无</w:t>
      </w:r>
      <w:r>
        <w:rPr>
          <w:rFonts w:hint="eastAsia" w:hAnsi="宋体" w:cs="宋体"/>
          <w:bCs/>
          <w:color w:val="auto"/>
          <w:szCs w:val="21"/>
          <w:highlight w:val="none"/>
        </w:rPr>
        <w:t>。</w:t>
      </w:r>
    </w:p>
    <w:p w14:paraId="32857012">
      <w:pPr>
        <w:widowControl/>
        <w:spacing w:line="576" w:lineRule="atLeast"/>
        <w:ind w:firstLine="480" w:firstLineChars="200"/>
        <w:rPr>
          <w:rFonts w:hAnsi="宋体" w:cs="宋体"/>
          <w:bCs/>
          <w:color w:val="auto"/>
          <w:szCs w:val="21"/>
          <w:highlight w:val="none"/>
        </w:rPr>
      </w:pPr>
      <w:r>
        <w:rPr>
          <w:rFonts w:hint="eastAsia" w:hAnsi="宋体" w:cs="宋体"/>
          <w:bCs/>
          <w:color w:val="auto"/>
          <w:szCs w:val="21"/>
          <w:highlight w:val="none"/>
        </w:rPr>
        <w:t>3.5 投标人财务要求：</w:t>
      </w:r>
      <w:r>
        <w:rPr>
          <w:rFonts w:hint="eastAsia" w:hAnsi="宋体" w:cs="宋体"/>
          <w:bCs/>
          <w:color w:val="auto"/>
          <w:szCs w:val="21"/>
          <w:highlight w:val="none"/>
          <w:u w:val="single"/>
        </w:rPr>
        <w:t>无</w:t>
      </w:r>
      <w:r>
        <w:rPr>
          <w:rFonts w:hint="eastAsia" w:hAnsi="宋体" w:cs="宋体"/>
          <w:bCs/>
          <w:color w:val="auto"/>
          <w:szCs w:val="21"/>
          <w:highlight w:val="none"/>
        </w:rPr>
        <w:t>。</w:t>
      </w:r>
      <w:r>
        <w:rPr>
          <w:rFonts w:hint="eastAsia" w:hAnsi="宋体" w:cs="宋体"/>
          <w:bCs/>
          <w:color w:val="auto"/>
          <w:szCs w:val="21"/>
          <w:highlight w:val="none"/>
        </w:rPr>
        <w:tab/>
      </w:r>
    </w:p>
    <w:p w14:paraId="114D6019">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rPr>
        <w:t>3.6 本次招标</w:t>
      </w:r>
      <w:r>
        <w:rPr>
          <w:rFonts w:hint="eastAsia" w:hAnsi="宋体" w:cs="宋体"/>
          <w:bCs/>
          <w:color w:val="auto"/>
          <w:szCs w:val="21"/>
          <w:highlight w:val="none"/>
          <w:lang w:val="en-US" w:eastAsia="zh-CN"/>
        </w:rPr>
        <w:t>不</w:t>
      </w:r>
      <w:r>
        <w:rPr>
          <w:rFonts w:hint="eastAsia" w:hAnsi="宋体" w:cs="宋体"/>
          <w:bCs/>
          <w:color w:val="auto"/>
          <w:szCs w:val="21"/>
          <w:highlight w:val="none"/>
          <w:u w:val="single"/>
        </w:rPr>
        <w:t>允许</w:t>
      </w:r>
      <w:r>
        <w:rPr>
          <w:rFonts w:hint="eastAsia" w:hAnsi="宋体" w:cs="宋体"/>
          <w:bCs/>
          <w:color w:val="auto"/>
          <w:szCs w:val="21"/>
          <w:highlight w:val="none"/>
        </w:rPr>
        <w:t>联合体投标；资格审查采取资格后审方式进行。</w:t>
      </w:r>
    </w:p>
    <w:p w14:paraId="73227CB8">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rPr>
        <w:t>3.7本项目</w:t>
      </w:r>
      <w:r>
        <w:rPr>
          <w:rFonts w:hint="eastAsia" w:hAnsi="宋体" w:cs="宋体"/>
          <w:bCs/>
          <w:color w:val="auto"/>
          <w:szCs w:val="21"/>
          <w:highlight w:val="none"/>
          <w:u w:val="single"/>
        </w:rPr>
        <w:t xml:space="preserve"> </w:t>
      </w:r>
      <w:r>
        <w:rPr>
          <w:rFonts w:hint="eastAsia" w:hAnsi="宋体" w:cs="宋体"/>
          <w:bCs/>
          <w:color w:val="auto"/>
          <w:szCs w:val="21"/>
          <w:highlight w:val="none"/>
          <w:u w:val="single"/>
          <w:lang w:val="en-US" w:eastAsia="zh-CN"/>
        </w:rPr>
        <w:t>非</w:t>
      </w:r>
      <w:r>
        <w:rPr>
          <w:rFonts w:hint="eastAsia" w:hAnsi="宋体" w:cs="宋体"/>
          <w:bCs/>
          <w:color w:val="auto"/>
          <w:szCs w:val="21"/>
          <w:highlight w:val="none"/>
          <w:u w:val="single"/>
        </w:rPr>
        <w:t xml:space="preserve"> </w:t>
      </w:r>
      <w:r>
        <w:rPr>
          <w:rFonts w:hint="eastAsia" w:hAnsi="宋体" w:cs="宋体"/>
          <w:bCs/>
          <w:color w:val="auto"/>
          <w:szCs w:val="21"/>
          <w:highlight w:val="none"/>
        </w:rPr>
        <w:t>专门面向中小企业招标。</w:t>
      </w:r>
    </w:p>
    <w:p w14:paraId="3660AC37">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rPr>
        <w:t>3.8其他要求：</w:t>
      </w:r>
      <w:r>
        <w:rPr>
          <w:rFonts w:hint="eastAsia" w:hAnsi="宋体" w:cs="宋体"/>
          <w:color w:val="auto"/>
          <w:highlight w:val="none"/>
          <w:u w:val="single"/>
          <w:lang w:val="en-US" w:eastAsia="zh-CN"/>
        </w:rPr>
        <w:t>无。</w:t>
      </w:r>
    </w:p>
    <w:p w14:paraId="559ED9EC">
      <w:pPr>
        <w:adjustRightInd w:val="0"/>
        <w:snapToGrid w:val="0"/>
        <w:spacing w:line="572" w:lineRule="exact"/>
        <w:outlineLvl w:val="1"/>
        <w:rPr>
          <w:rFonts w:hAnsi="宋体" w:cs="宋体"/>
          <w:b/>
          <w:bCs/>
          <w:color w:val="auto"/>
          <w:highlight w:val="none"/>
        </w:rPr>
      </w:pPr>
      <w:bookmarkStart w:id="9" w:name="_Toc120089506"/>
      <w:bookmarkStart w:id="10" w:name="_Toc126335757"/>
      <w:r>
        <w:rPr>
          <w:rFonts w:hint="eastAsia" w:hAnsi="宋体" w:cs="宋体"/>
          <w:b/>
          <w:bCs/>
          <w:color w:val="auto"/>
          <w:highlight w:val="none"/>
        </w:rPr>
        <w:t>4. 招标文件的获取</w:t>
      </w:r>
      <w:bookmarkEnd w:id="9"/>
      <w:bookmarkEnd w:id="10"/>
    </w:p>
    <w:p w14:paraId="2FC32D6A">
      <w:pPr>
        <w:adjustRightInd w:val="0"/>
        <w:snapToGrid w:val="0"/>
        <w:spacing w:line="572" w:lineRule="exact"/>
        <w:ind w:firstLine="480" w:firstLineChars="200"/>
        <w:outlineLvl w:val="1"/>
        <w:rPr>
          <w:rFonts w:hint="eastAsia" w:ascii="宋体" w:hAnsi="宋体" w:eastAsia="宋体" w:cs="宋体"/>
          <w:bCs/>
          <w:color w:val="auto"/>
          <w:szCs w:val="21"/>
          <w:highlight w:val="none"/>
        </w:rPr>
      </w:pPr>
      <w:r>
        <w:rPr>
          <w:rFonts w:hint="eastAsia" w:hAnsi="宋体" w:cs="宋体"/>
          <w:bCs/>
          <w:color w:val="auto"/>
          <w:szCs w:val="21"/>
          <w:highlight w:val="none"/>
          <w:lang w:val="en-US" w:eastAsia="zh-CN"/>
        </w:rPr>
        <w:t>4.1</w:t>
      </w:r>
      <w:r>
        <w:rPr>
          <w:rFonts w:hint="eastAsia" w:ascii="宋体" w:hAnsi="宋体" w:eastAsia="宋体" w:cs="宋体"/>
          <w:bCs/>
          <w:color w:val="auto"/>
          <w:szCs w:val="21"/>
          <w:highlight w:val="none"/>
        </w:rPr>
        <w:t>获取时间起始为公告挂网时间，终止为投标文件递交的截止时间。</w:t>
      </w:r>
    </w:p>
    <w:p w14:paraId="6D6148EA">
      <w:pPr>
        <w:adjustRightInd w:val="0"/>
        <w:snapToGrid w:val="0"/>
        <w:spacing w:line="572" w:lineRule="exact"/>
        <w:ind w:firstLine="480" w:firstLineChars="200"/>
        <w:outlineLvl w:val="1"/>
        <w:rPr>
          <w:rFonts w:hint="eastAsia" w:ascii="宋体" w:hAnsi="宋体" w:eastAsia="宋体" w:cs="宋体"/>
          <w:bCs/>
          <w:color w:val="auto"/>
          <w:szCs w:val="21"/>
          <w:highlight w:val="none"/>
        </w:rPr>
      </w:pPr>
      <w:r>
        <w:rPr>
          <w:rFonts w:hint="eastAsia" w:hAnsi="宋体" w:cs="宋体"/>
          <w:bCs/>
          <w:color w:val="auto"/>
          <w:szCs w:val="21"/>
          <w:highlight w:val="none"/>
          <w:lang w:val="en-US" w:eastAsia="zh-CN"/>
        </w:rPr>
        <w:t>4.2</w:t>
      </w:r>
      <w:r>
        <w:rPr>
          <w:rFonts w:hint="eastAsia" w:ascii="宋体" w:hAnsi="宋体" w:eastAsia="宋体" w:cs="宋体"/>
          <w:bCs/>
          <w:color w:val="auto"/>
          <w:szCs w:val="21"/>
          <w:highlight w:val="none"/>
        </w:rPr>
        <w:t>获取方式：</w:t>
      </w:r>
    </w:p>
    <w:p w14:paraId="3204B4F8">
      <w:pPr>
        <w:adjustRightInd w:val="0"/>
        <w:snapToGrid w:val="0"/>
        <w:spacing w:line="572" w:lineRule="exact"/>
        <w:ind w:firstLine="480" w:firstLineChars="200"/>
        <w:outlineLvl w:val="1"/>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(1)潜在投标人查阅招标文件后，如参与投标，可在铜陵金诚投资集团有限公司网站上自行下载招标文件。</w:t>
      </w:r>
    </w:p>
    <w:p w14:paraId="7B6B8FC7">
      <w:pPr>
        <w:adjustRightInd w:val="0"/>
        <w:snapToGrid w:val="0"/>
        <w:spacing w:line="572" w:lineRule="exact"/>
        <w:ind w:firstLine="480" w:firstLineChars="200"/>
        <w:outlineLvl w:val="1"/>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(2)招标文件费用支付方式：/。</w:t>
      </w:r>
    </w:p>
    <w:p w14:paraId="44FEAA1C">
      <w:pPr>
        <w:adjustRightInd w:val="0"/>
        <w:snapToGrid w:val="0"/>
        <w:spacing w:line="572" w:lineRule="exact"/>
        <w:ind w:firstLine="480" w:firstLineChars="200"/>
        <w:outlineLvl w:val="1"/>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(3)招标文件获取过程中有任何疑问，请在工作时间(工作日上午8:30至11:30,下午2:30至5:00)拨打</w:t>
      </w:r>
      <w:r>
        <w:rPr>
          <w:rFonts w:hint="eastAsia" w:hAnsi="宋体" w:cs="宋体"/>
          <w:bCs/>
          <w:color w:val="auto"/>
          <w:szCs w:val="21"/>
          <w:highlight w:val="none"/>
          <w:lang w:val="en-US" w:eastAsia="zh-CN"/>
        </w:rPr>
        <w:t>李工17705624113</w:t>
      </w:r>
      <w:r>
        <w:rPr>
          <w:rFonts w:hint="eastAsia" w:ascii="宋体" w:hAnsi="宋体" w:eastAsia="宋体" w:cs="宋体"/>
          <w:bCs/>
          <w:color w:val="auto"/>
          <w:szCs w:val="21"/>
          <w:highlight w:val="none"/>
        </w:rPr>
        <w:t>。</w:t>
      </w:r>
    </w:p>
    <w:p w14:paraId="15C743DC">
      <w:pPr>
        <w:adjustRightInd w:val="0"/>
        <w:snapToGrid w:val="0"/>
        <w:spacing w:line="572" w:lineRule="exact"/>
        <w:ind w:firstLine="480" w:firstLineChars="200"/>
        <w:outlineLvl w:val="1"/>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3、招标文件价格：0元。</w:t>
      </w:r>
    </w:p>
    <w:p w14:paraId="30656D6D">
      <w:pPr>
        <w:adjustRightInd w:val="0"/>
        <w:snapToGrid w:val="0"/>
        <w:spacing w:line="572" w:lineRule="exact"/>
        <w:outlineLvl w:val="1"/>
        <w:rPr>
          <w:rFonts w:hAnsi="宋体" w:cs="宋体"/>
          <w:b/>
          <w:bCs/>
          <w:color w:val="auto"/>
          <w:highlight w:val="none"/>
        </w:rPr>
      </w:pPr>
      <w:r>
        <w:rPr>
          <w:rFonts w:hint="eastAsia" w:hAnsi="宋体" w:cs="宋体"/>
          <w:b/>
          <w:bCs/>
          <w:color w:val="auto"/>
          <w:highlight w:val="none"/>
        </w:rPr>
        <w:t xml:space="preserve">5. </w:t>
      </w:r>
      <w:r>
        <w:rPr>
          <w:rFonts w:hint="eastAsia" w:ascii="宋体" w:hAnsi="宋体" w:eastAsia="宋体" w:cs="宋体"/>
          <w:b/>
          <w:bCs/>
          <w:color w:val="auto"/>
          <w:kern w:val="0"/>
          <w:sz w:val="24"/>
          <w:highlight w:val="none"/>
        </w:rPr>
        <w:t>投标截止时间和地点</w:t>
      </w:r>
    </w:p>
    <w:p w14:paraId="54BDB1DF">
      <w:pPr>
        <w:adjustRightInd w:val="0"/>
        <w:snapToGrid w:val="0"/>
        <w:spacing w:line="572" w:lineRule="exact"/>
        <w:ind w:firstLine="488" w:firstLineChars="200"/>
        <w:rPr>
          <w:rFonts w:hint="eastAsia" w:ascii="宋体" w:hAnsi="宋体" w:eastAsia="宋体" w:cs="宋体"/>
          <w:color w:val="auto"/>
          <w:spacing w:val="2"/>
          <w:highlight w:val="none"/>
        </w:rPr>
      </w:pPr>
      <w:r>
        <w:rPr>
          <w:rFonts w:hint="eastAsia" w:ascii="宋体" w:hAnsi="宋体" w:eastAsia="宋体" w:cs="宋体"/>
          <w:color w:val="auto"/>
          <w:spacing w:val="2"/>
          <w:highlight w:val="none"/>
          <w:lang w:val="en-US" w:eastAsia="zh-CN"/>
        </w:rPr>
        <w:t>5.1</w:t>
      </w:r>
      <w:r>
        <w:rPr>
          <w:rFonts w:hint="eastAsia" w:ascii="宋体" w:hAnsi="宋体" w:eastAsia="宋体" w:cs="宋体"/>
          <w:color w:val="auto"/>
          <w:spacing w:val="2"/>
          <w:highlight w:val="none"/>
        </w:rPr>
        <w:t>.投标文件递交截止时间（开标时间）为：2025年4月</w:t>
      </w:r>
      <w:r>
        <w:rPr>
          <w:rFonts w:hint="eastAsia" w:hAnsi="宋体" w:cs="宋体"/>
          <w:color w:val="auto"/>
          <w:spacing w:val="2"/>
          <w:highlight w:val="none"/>
          <w:lang w:val="en-US" w:eastAsia="zh-CN"/>
        </w:rPr>
        <w:t>28</w:t>
      </w:r>
      <w:r>
        <w:rPr>
          <w:rFonts w:hint="eastAsia" w:ascii="宋体" w:hAnsi="宋体" w:eastAsia="宋体" w:cs="宋体"/>
          <w:color w:val="auto"/>
          <w:spacing w:val="2"/>
          <w:highlight w:val="none"/>
        </w:rPr>
        <w:t>日</w:t>
      </w:r>
      <w:r>
        <w:rPr>
          <w:rFonts w:hint="eastAsia" w:hAnsi="宋体" w:cs="宋体"/>
          <w:color w:val="auto"/>
          <w:spacing w:val="2"/>
          <w:highlight w:val="none"/>
          <w:lang w:val="en-US" w:eastAsia="zh-CN"/>
        </w:rPr>
        <w:t>15</w:t>
      </w:r>
      <w:r>
        <w:rPr>
          <w:rFonts w:hint="eastAsia" w:ascii="宋体" w:hAnsi="宋体" w:eastAsia="宋体" w:cs="宋体"/>
          <w:color w:val="auto"/>
          <w:spacing w:val="2"/>
          <w:highlight w:val="none"/>
        </w:rPr>
        <w:t>时</w:t>
      </w:r>
      <w:r>
        <w:rPr>
          <w:rFonts w:hint="eastAsia" w:hAnsi="宋体" w:cs="宋体"/>
          <w:color w:val="auto"/>
          <w:spacing w:val="2"/>
          <w:highlight w:val="none"/>
          <w:lang w:val="en-US" w:eastAsia="zh-CN"/>
        </w:rPr>
        <w:t>0</w:t>
      </w:r>
      <w:r>
        <w:rPr>
          <w:rFonts w:hint="eastAsia" w:ascii="宋体" w:hAnsi="宋体" w:eastAsia="宋体" w:cs="宋体"/>
          <w:color w:val="auto"/>
          <w:spacing w:val="2"/>
          <w:highlight w:val="none"/>
        </w:rPr>
        <w:t xml:space="preserve">0分。 </w:t>
      </w:r>
    </w:p>
    <w:p w14:paraId="20730793">
      <w:pPr>
        <w:adjustRightInd w:val="0"/>
        <w:snapToGrid w:val="0"/>
        <w:spacing w:line="572" w:lineRule="exact"/>
        <w:ind w:firstLine="488" w:firstLineChars="200"/>
        <w:rPr>
          <w:rFonts w:hint="eastAsia" w:ascii="宋体" w:hAnsi="宋体" w:eastAsia="宋体" w:cs="宋体"/>
          <w:color w:val="auto"/>
          <w:spacing w:val="2"/>
          <w:highlight w:val="none"/>
        </w:rPr>
      </w:pPr>
      <w:r>
        <w:rPr>
          <w:rFonts w:hint="eastAsia" w:ascii="宋体" w:hAnsi="宋体" w:eastAsia="宋体" w:cs="宋体"/>
          <w:color w:val="auto"/>
          <w:spacing w:val="2"/>
          <w:highlight w:val="none"/>
          <w:lang w:val="en-US" w:eastAsia="zh-CN"/>
        </w:rPr>
        <w:t>5.2</w:t>
      </w:r>
      <w:r>
        <w:rPr>
          <w:rFonts w:hint="eastAsia" w:ascii="宋体" w:hAnsi="宋体" w:eastAsia="宋体" w:cs="宋体"/>
          <w:color w:val="auto"/>
          <w:spacing w:val="2"/>
          <w:highlight w:val="none"/>
        </w:rPr>
        <w:t>投标文件递送的地点（开标地点）为：铜陵市郊区公共服务中心一楼会议室（铜陵市郊区政府4＃楼）。</w:t>
      </w:r>
    </w:p>
    <w:p w14:paraId="22C5AADD">
      <w:pPr>
        <w:adjustRightInd w:val="0"/>
        <w:snapToGrid w:val="0"/>
        <w:spacing w:line="572" w:lineRule="exact"/>
        <w:ind w:firstLine="488" w:firstLineChars="200"/>
        <w:rPr>
          <w:rFonts w:hint="eastAsia" w:ascii="宋体" w:hAnsi="宋体" w:eastAsia="宋体" w:cs="宋体"/>
          <w:color w:val="auto"/>
          <w:spacing w:val="2"/>
          <w:highlight w:val="none"/>
        </w:rPr>
      </w:pPr>
      <w:r>
        <w:rPr>
          <w:rFonts w:hint="eastAsia" w:ascii="宋体" w:hAnsi="宋体" w:eastAsia="宋体" w:cs="宋体"/>
          <w:color w:val="auto"/>
          <w:spacing w:val="2"/>
          <w:highlight w:val="none"/>
          <w:lang w:val="en-US" w:eastAsia="zh-CN"/>
        </w:rPr>
        <w:t>5.3</w:t>
      </w:r>
      <w:r>
        <w:rPr>
          <w:rFonts w:hint="eastAsia" w:ascii="宋体" w:hAnsi="宋体" w:eastAsia="宋体" w:cs="宋体"/>
          <w:color w:val="auto"/>
          <w:spacing w:val="2"/>
          <w:highlight w:val="none"/>
        </w:rPr>
        <w:t>逾期送达的或者未送达指定地点的投标文件，招标人不予受理。</w:t>
      </w:r>
    </w:p>
    <w:p w14:paraId="227EE00A">
      <w:pPr>
        <w:adjustRightInd w:val="0"/>
        <w:snapToGrid w:val="0"/>
        <w:spacing w:line="572" w:lineRule="exact"/>
        <w:rPr>
          <w:rFonts w:hAnsi="宋体" w:cs="宋体"/>
          <w:b/>
          <w:bCs/>
          <w:color w:val="auto"/>
          <w:highlight w:val="none"/>
        </w:rPr>
      </w:pPr>
      <w:r>
        <w:rPr>
          <w:rFonts w:hint="eastAsia" w:hAnsi="宋体" w:cs="宋体"/>
          <w:b/>
          <w:bCs/>
          <w:color w:val="auto"/>
          <w:highlight w:val="none"/>
          <w:lang w:val="en-US" w:eastAsia="zh-CN"/>
        </w:rPr>
        <w:t>6.</w:t>
      </w:r>
      <w:r>
        <w:rPr>
          <w:rFonts w:hint="eastAsia" w:hAnsi="宋体" w:cs="宋体"/>
          <w:b/>
          <w:bCs/>
          <w:color w:val="auto"/>
          <w:highlight w:val="none"/>
        </w:rPr>
        <w:t xml:space="preserve"> 发布公告的媒介</w:t>
      </w:r>
    </w:p>
    <w:p w14:paraId="3BF3AE1A">
      <w:pPr>
        <w:adjustRightInd w:val="0"/>
        <w:snapToGrid w:val="0"/>
        <w:spacing w:line="572" w:lineRule="exact"/>
        <w:ind w:firstLine="480" w:firstLineChars="200"/>
        <w:outlineLvl w:val="1"/>
        <w:rPr>
          <w:rFonts w:hint="eastAsia" w:hAnsi="宋体" w:cs="宋体"/>
          <w:bCs/>
          <w:color w:val="auto"/>
          <w:szCs w:val="21"/>
          <w:highlight w:val="none"/>
        </w:rPr>
      </w:pPr>
      <w:r>
        <w:rPr>
          <w:rFonts w:hint="eastAsia" w:hAnsi="宋体" w:cs="宋体"/>
          <w:bCs/>
          <w:color w:val="auto"/>
          <w:szCs w:val="21"/>
          <w:highlight w:val="none"/>
        </w:rPr>
        <w:t>所有招标内容均以铜陵金诚投资集团有限公司、安徽天玑项目管理有限公司官网上公布的该工程招标公告、补充公告为准，投标人自行查看，其它任何形式的内容不作为招标投标以及开标评标的依据。请各投标人注意该网站中的信息发布内容，如因投标人自身原因未了解公告、答疑等信息的，责任自负。</w:t>
      </w:r>
    </w:p>
    <w:p w14:paraId="4D10859D">
      <w:pPr>
        <w:adjustRightInd w:val="0"/>
        <w:snapToGrid w:val="0"/>
        <w:spacing w:line="572" w:lineRule="exact"/>
        <w:outlineLvl w:val="1"/>
        <w:rPr>
          <w:rFonts w:hAnsi="宋体" w:cs="宋体"/>
          <w:b/>
          <w:bCs/>
          <w:color w:val="auto"/>
          <w:highlight w:val="none"/>
        </w:rPr>
      </w:pPr>
      <w:bookmarkStart w:id="11" w:name="_Toc126335761"/>
      <w:bookmarkStart w:id="12" w:name="_Toc120089510"/>
      <w:r>
        <w:rPr>
          <w:rFonts w:hint="eastAsia" w:hAnsi="宋体" w:cs="宋体"/>
          <w:b/>
          <w:bCs/>
          <w:color w:val="auto"/>
          <w:highlight w:val="none"/>
          <w:lang w:val="en-US" w:eastAsia="zh-CN"/>
        </w:rPr>
        <w:t>7</w:t>
      </w:r>
      <w:r>
        <w:rPr>
          <w:rFonts w:hint="eastAsia" w:hAnsi="宋体" w:cs="宋体"/>
          <w:b/>
          <w:bCs/>
          <w:color w:val="auto"/>
          <w:highlight w:val="none"/>
        </w:rPr>
        <w:t>.联系方式</w:t>
      </w:r>
      <w:bookmarkEnd w:id="11"/>
      <w:bookmarkEnd w:id="12"/>
    </w:p>
    <w:p w14:paraId="0C85AEEA">
      <w:pPr>
        <w:adjustRightInd w:val="0"/>
        <w:snapToGrid w:val="0"/>
        <w:spacing w:line="572" w:lineRule="exact"/>
        <w:ind w:firstLine="480" w:firstLineChars="200"/>
        <w:outlineLvl w:val="1"/>
        <w:rPr>
          <w:rFonts w:hAnsi="宋体" w:cs="宋体"/>
          <w:b/>
          <w:bCs/>
          <w:color w:val="auto"/>
          <w:highlight w:val="none"/>
        </w:rPr>
      </w:pPr>
      <w:bookmarkStart w:id="13" w:name="_Toc126335762"/>
      <w:r>
        <w:rPr>
          <w:rFonts w:hint="eastAsia" w:hAnsi="宋体" w:cs="宋体"/>
          <w:color w:val="auto"/>
          <w:highlight w:val="none"/>
        </w:rPr>
        <w:t>对本项目存在异议或质疑的可在公示期内通过以下联系方式向招标人或代理机构提出。</w:t>
      </w:r>
      <w:bookmarkEnd w:id="13"/>
    </w:p>
    <w:p w14:paraId="4608AB70">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lang w:val="en-US" w:eastAsia="zh-CN"/>
        </w:rPr>
        <w:t>7</w:t>
      </w:r>
      <w:r>
        <w:rPr>
          <w:rFonts w:hint="eastAsia" w:hAnsi="宋体" w:cs="宋体"/>
          <w:bCs/>
          <w:color w:val="auto"/>
          <w:szCs w:val="21"/>
          <w:highlight w:val="none"/>
        </w:rPr>
        <w:t>.1 招标人</w:t>
      </w:r>
    </w:p>
    <w:p w14:paraId="166A7D3D">
      <w:pPr>
        <w:adjustRightInd w:val="0"/>
        <w:snapToGrid w:val="0"/>
        <w:spacing w:line="572" w:lineRule="exact"/>
        <w:ind w:firstLine="480" w:firstLineChars="200"/>
        <w:rPr>
          <w:rFonts w:hint="eastAsia" w:hAnsi="宋体" w:eastAsia="宋体" w:cs="宋体"/>
          <w:color w:val="auto"/>
          <w:highlight w:val="none"/>
          <w:u w:val="single"/>
          <w:lang w:eastAsia="zh-CN"/>
        </w:rPr>
      </w:pPr>
      <w:r>
        <w:rPr>
          <w:rFonts w:hint="eastAsia" w:hAnsi="宋体" w:cs="宋体"/>
          <w:color w:val="auto"/>
          <w:highlight w:val="none"/>
        </w:rPr>
        <w:t>招 标 人：</w:t>
      </w:r>
      <w:r>
        <w:rPr>
          <w:rFonts w:hint="eastAsia" w:hAnsi="宋体" w:cs="宋体"/>
          <w:color w:val="auto"/>
          <w:highlight w:val="none"/>
          <w:u w:val="single"/>
          <w:lang w:eastAsia="zh-CN"/>
        </w:rPr>
        <w:t>铜陵金诚资产运营有限公司</w:t>
      </w:r>
    </w:p>
    <w:p w14:paraId="73F09FF0">
      <w:pPr>
        <w:adjustRightInd w:val="0"/>
        <w:snapToGrid w:val="0"/>
        <w:spacing w:line="572" w:lineRule="exact"/>
        <w:ind w:firstLine="480" w:firstLineChars="200"/>
        <w:rPr>
          <w:rFonts w:hAnsi="宋体" w:cs="宋体"/>
          <w:color w:val="auto"/>
          <w:highlight w:val="none"/>
          <w:u w:val="single"/>
        </w:rPr>
      </w:pPr>
      <w:r>
        <w:rPr>
          <w:rFonts w:hint="eastAsia" w:hAnsi="宋体" w:cs="宋体"/>
          <w:color w:val="auto"/>
          <w:highlight w:val="none"/>
        </w:rPr>
        <w:t>地    址：</w:t>
      </w:r>
      <w:r>
        <w:rPr>
          <w:rFonts w:hint="eastAsia" w:hAnsi="宋体" w:cs="宋体"/>
          <w:color w:val="auto"/>
          <w:highlight w:val="none"/>
          <w:u w:val="single"/>
          <w:lang w:val="zh-CN"/>
        </w:rPr>
        <w:t>铜陵市郊区大通美食广场A座</w:t>
      </w:r>
    </w:p>
    <w:p w14:paraId="146D9C24">
      <w:pPr>
        <w:adjustRightInd w:val="0"/>
        <w:snapToGrid w:val="0"/>
        <w:spacing w:line="572" w:lineRule="exact"/>
        <w:ind w:firstLine="480" w:firstLineChars="200"/>
        <w:rPr>
          <w:rFonts w:hAnsi="宋体" w:cs="宋体"/>
          <w:color w:val="auto"/>
          <w:highlight w:val="none"/>
        </w:rPr>
      </w:pPr>
      <w:r>
        <w:rPr>
          <w:rFonts w:hint="eastAsia" w:hAnsi="宋体" w:cs="宋体"/>
          <w:color w:val="auto"/>
          <w:highlight w:val="none"/>
        </w:rPr>
        <w:t>邮    编：</w:t>
      </w:r>
      <w:r>
        <w:rPr>
          <w:rFonts w:hint="eastAsia" w:hAnsi="宋体" w:cs="宋体"/>
          <w:color w:val="auto"/>
          <w:highlight w:val="none"/>
          <w:u w:val="single"/>
        </w:rPr>
        <w:t>244000</w:t>
      </w:r>
    </w:p>
    <w:p w14:paraId="779085E4">
      <w:pPr>
        <w:adjustRightInd w:val="0"/>
        <w:snapToGrid w:val="0"/>
        <w:spacing w:line="572" w:lineRule="exact"/>
        <w:ind w:firstLine="480" w:firstLineChars="200"/>
        <w:rPr>
          <w:rFonts w:hAnsi="宋体" w:cs="宋体"/>
          <w:color w:val="auto"/>
          <w:highlight w:val="none"/>
        </w:rPr>
      </w:pPr>
      <w:r>
        <w:rPr>
          <w:rFonts w:hint="eastAsia" w:hAnsi="宋体" w:cs="宋体"/>
          <w:color w:val="auto"/>
          <w:highlight w:val="none"/>
        </w:rPr>
        <w:t>联 系 人：</w:t>
      </w:r>
      <w:r>
        <w:rPr>
          <w:rFonts w:hint="eastAsia" w:hAnsi="宋体" w:cs="宋体"/>
          <w:color w:val="auto"/>
          <w:highlight w:val="none"/>
          <w:u w:val="single"/>
          <w:lang w:val="en-US" w:eastAsia="zh-CN"/>
        </w:rPr>
        <w:t>黄</w:t>
      </w:r>
      <w:r>
        <w:rPr>
          <w:rFonts w:hint="eastAsia" w:hAnsi="宋体" w:cs="宋体"/>
          <w:color w:val="auto"/>
          <w:highlight w:val="none"/>
          <w:u w:val="single"/>
        </w:rPr>
        <w:t>先生</w:t>
      </w:r>
    </w:p>
    <w:p w14:paraId="50E053AA">
      <w:pPr>
        <w:adjustRightInd w:val="0"/>
        <w:snapToGrid w:val="0"/>
        <w:spacing w:line="572" w:lineRule="exact"/>
        <w:ind w:firstLine="480" w:firstLineChars="200"/>
        <w:rPr>
          <w:rFonts w:hint="default" w:hAnsi="宋体" w:eastAsia="宋体" w:cs="宋体"/>
          <w:color w:val="auto"/>
          <w:highlight w:val="none"/>
          <w:u w:val="single"/>
          <w:lang w:val="en-US" w:eastAsia="zh-CN"/>
        </w:rPr>
      </w:pPr>
      <w:r>
        <w:rPr>
          <w:rFonts w:hint="eastAsia" w:hAnsi="宋体" w:cs="宋体"/>
          <w:color w:val="auto"/>
          <w:highlight w:val="none"/>
        </w:rPr>
        <w:t>电    话：</w:t>
      </w:r>
      <w:r>
        <w:rPr>
          <w:rFonts w:hint="eastAsia" w:ascii="宋体" w:hAnsi="宋体" w:cs="宋体"/>
          <w:color w:val="auto"/>
          <w:kern w:val="0"/>
          <w:sz w:val="24"/>
          <w:highlight w:val="none"/>
          <w:u w:val="single"/>
          <w:lang w:bidi="ar"/>
        </w:rPr>
        <w:t>18714978876</w:t>
      </w:r>
      <w:bookmarkStart w:id="192" w:name="_GoBack"/>
      <w:bookmarkEnd w:id="192"/>
    </w:p>
    <w:p w14:paraId="73B6B8E9">
      <w:pPr>
        <w:adjustRightInd w:val="0"/>
        <w:snapToGrid w:val="0"/>
        <w:spacing w:line="572" w:lineRule="exact"/>
        <w:ind w:firstLine="480" w:firstLineChars="200"/>
        <w:rPr>
          <w:rFonts w:hAnsi="宋体" w:cs="宋体"/>
          <w:bCs/>
          <w:color w:val="auto"/>
          <w:szCs w:val="21"/>
          <w:highlight w:val="none"/>
        </w:rPr>
      </w:pPr>
      <w:r>
        <w:rPr>
          <w:rFonts w:hint="eastAsia" w:hAnsi="宋体" w:cs="宋体"/>
          <w:bCs/>
          <w:color w:val="auto"/>
          <w:szCs w:val="21"/>
          <w:highlight w:val="none"/>
          <w:lang w:val="en-US" w:eastAsia="zh-CN"/>
        </w:rPr>
        <w:t>7</w:t>
      </w:r>
      <w:r>
        <w:rPr>
          <w:rFonts w:hint="eastAsia" w:hAnsi="宋体" w:cs="宋体"/>
          <w:bCs/>
          <w:color w:val="auto"/>
          <w:szCs w:val="21"/>
          <w:highlight w:val="none"/>
        </w:rPr>
        <w:t>.2 招标代理机构</w:t>
      </w:r>
    </w:p>
    <w:p w14:paraId="3FA14A84">
      <w:pPr>
        <w:adjustRightInd w:val="0"/>
        <w:snapToGrid w:val="0"/>
        <w:spacing w:line="572" w:lineRule="exact"/>
        <w:ind w:firstLine="480" w:firstLineChars="200"/>
        <w:rPr>
          <w:rFonts w:hint="eastAsia" w:hAnsi="宋体" w:eastAsia="宋体" w:cs="宋体"/>
          <w:color w:val="auto"/>
          <w:highlight w:val="none"/>
          <w:u w:val="single"/>
          <w:lang w:eastAsia="zh-CN"/>
        </w:rPr>
      </w:pPr>
      <w:r>
        <w:rPr>
          <w:rFonts w:hint="eastAsia" w:hAnsi="宋体" w:cs="宋体"/>
          <w:color w:val="auto"/>
          <w:highlight w:val="none"/>
        </w:rPr>
        <w:t>招标代理机构：</w:t>
      </w:r>
      <w:r>
        <w:rPr>
          <w:rFonts w:hint="eastAsia" w:hAnsi="宋体" w:cs="宋体"/>
          <w:color w:val="auto"/>
          <w:highlight w:val="none"/>
          <w:u w:val="single"/>
          <w:lang w:eastAsia="zh-CN"/>
        </w:rPr>
        <w:t>安徽天玑项目管理有限公司</w:t>
      </w:r>
    </w:p>
    <w:p w14:paraId="2D83BA97">
      <w:pPr>
        <w:adjustRightInd w:val="0"/>
        <w:snapToGrid w:val="0"/>
        <w:spacing w:line="572" w:lineRule="exact"/>
        <w:ind w:firstLine="480" w:firstLineChars="200"/>
        <w:rPr>
          <w:rFonts w:hAnsi="宋体" w:cs="宋体"/>
          <w:color w:val="auto"/>
          <w:highlight w:val="none"/>
          <w:u w:val="single"/>
        </w:rPr>
      </w:pPr>
      <w:r>
        <w:rPr>
          <w:rFonts w:hint="eastAsia" w:hAnsi="宋体" w:cs="宋体"/>
          <w:color w:val="auto"/>
          <w:highlight w:val="none"/>
        </w:rPr>
        <w:t>地    址：</w:t>
      </w:r>
      <w:r>
        <w:rPr>
          <w:rFonts w:hint="eastAsia" w:hAnsi="宋体" w:cs="宋体"/>
          <w:color w:val="auto"/>
          <w:highlight w:val="none"/>
          <w:u w:val="single"/>
        </w:rPr>
        <w:t>铜陵市铜官区北斗星城B7号楼1802</w:t>
      </w:r>
    </w:p>
    <w:p w14:paraId="57E64BA5">
      <w:pPr>
        <w:adjustRightInd w:val="0"/>
        <w:snapToGrid w:val="0"/>
        <w:spacing w:line="572" w:lineRule="exact"/>
        <w:ind w:firstLine="480" w:firstLineChars="200"/>
        <w:rPr>
          <w:rFonts w:hAnsi="宋体" w:cs="宋体"/>
          <w:color w:val="auto"/>
          <w:highlight w:val="none"/>
          <w:u w:val="single"/>
        </w:rPr>
      </w:pPr>
      <w:r>
        <w:rPr>
          <w:rFonts w:hint="eastAsia" w:hAnsi="宋体" w:cs="宋体"/>
          <w:color w:val="auto"/>
          <w:highlight w:val="none"/>
        </w:rPr>
        <w:t>邮    编：</w:t>
      </w:r>
      <w:r>
        <w:rPr>
          <w:rFonts w:hint="eastAsia" w:hAnsi="宋体" w:cs="宋体"/>
          <w:color w:val="auto"/>
          <w:highlight w:val="none"/>
          <w:u w:val="single"/>
        </w:rPr>
        <w:t>244000</w:t>
      </w:r>
    </w:p>
    <w:p w14:paraId="61D04B84">
      <w:pPr>
        <w:adjustRightInd w:val="0"/>
        <w:snapToGrid w:val="0"/>
        <w:spacing w:line="572" w:lineRule="exact"/>
        <w:ind w:firstLine="480" w:firstLineChars="200"/>
        <w:rPr>
          <w:rFonts w:hAnsi="宋体" w:cs="宋体"/>
          <w:color w:val="auto"/>
          <w:highlight w:val="none"/>
          <w:u w:val="single"/>
        </w:rPr>
      </w:pPr>
      <w:r>
        <w:rPr>
          <w:rFonts w:hint="eastAsia" w:hAnsi="宋体" w:cs="宋体"/>
          <w:color w:val="auto"/>
          <w:highlight w:val="none"/>
        </w:rPr>
        <w:t>联 系 人：</w:t>
      </w:r>
      <w:r>
        <w:rPr>
          <w:rFonts w:hint="eastAsia" w:hAnsi="宋体" w:cs="宋体"/>
          <w:color w:val="auto"/>
          <w:highlight w:val="none"/>
          <w:u w:val="single"/>
          <w:lang w:val="en-US" w:eastAsia="zh-CN"/>
        </w:rPr>
        <w:t>李</w:t>
      </w:r>
      <w:r>
        <w:rPr>
          <w:rFonts w:hint="eastAsia" w:hAnsi="宋体" w:cs="宋体"/>
          <w:color w:val="auto"/>
          <w:highlight w:val="none"/>
          <w:u w:val="single"/>
        </w:rPr>
        <w:t>工</w:t>
      </w:r>
    </w:p>
    <w:p w14:paraId="65D79520">
      <w:pPr>
        <w:adjustRightInd w:val="0"/>
        <w:snapToGrid w:val="0"/>
        <w:spacing w:line="572" w:lineRule="exact"/>
        <w:ind w:firstLine="480" w:firstLineChars="200"/>
        <w:rPr>
          <w:rFonts w:hint="default" w:hAnsi="宋体" w:eastAsia="宋体" w:cs="宋体"/>
          <w:color w:val="auto"/>
          <w:highlight w:val="none"/>
          <w:u w:val="single"/>
          <w:lang w:val="en-US" w:eastAsia="zh-CN"/>
        </w:rPr>
      </w:pPr>
      <w:r>
        <w:rPr>
          <w:rFonts w:hint="eastAsia" w:hAnsi="宋体" w:cs="宋体"/>
          <w:color w:val="auto"/>
          <w:highlight w:val="none"/>
        </w:rPr>
        <w:t>电    话：</w:t>
      </w:r>
      <w:r>
        <w:rPr>
          <w:rFonts w:hint="eastAsia" w:hAnsi="宋体" w:cs="宋体"/>
          <w:color w:val="auto"/>
          <w:highlight w:val="none"/>
          <w:u w:val="single"/>
        </w:rPr>
        <w:t>1</w:t>
      </w:r>
      <w:r>
        <w:rPr>
          <w:rFonts w:hint="eastAsia" w:hAnsi="宋体" w:cs="宋体"/>
          <w:color w:val="auto"/>
          <w:highlight w:val="none"/>
          <w:u w:val="single"/>
          <w:lang w:val="en-US" w:eastAsia="zh-CN"/>
        </w:rPr>
        <w:t>7705624113</w:t>
      </w:r>
    </w:p>
    <w:p w14:paraId="5C06AAA9">
      <w:pPr>
        <w:adjustRightInd w:val="0"/>
        <w:snapToGrid w:val="0"/>
        <w:spacing w:line="572" w:lineRule="exact"/>
        <w:outlineLvl w:val="1"/>
        <w:rPr>
          <w:rFonts w:hAnsi="宋体" w:cs="宋体"/>
          <w:b/>
          <w:bCs/>
          <w:color w:val="auto"/>
          <w:highlight w:val="none"/>
        </w:rPr>
      </w:pPr>
      <w:bookmarkStart w:id="14" w:name="_Toc126335763"/>
      <w:bookmarkStart w:id="15" w:name="_Toc120089511"/>
      <w:r>
        <w:rPr>
          <w:rFonts w:hint="eastAsia" w:hAnsi="宋体" w:cs="宋体"/>
          <w:b/>
          <w:bCs/>
          <w:color w:val="auto"/>
          <w:highlight w:val="none"/>
          <w:lang w:val="en-US" w:eastAsia="zh-CN"/>
        </w:rPr>
        <w:t>8</w:t>
      </w:r>
      <w:r>
        <w:rPr>
          <w:rFonts w:hint="eastAsia" w:hAnsi="宋体" w:cs="宋体"/>
          <w:b/>
          <w:bCs/>
          <w:color w:val="auto"/>
          <w:highlight w:val="none"/>
        </w:rPr>
        <w:t>.其他事项说明</w:t>
      </w:r>
      <w:bookmarkEnd w:id="14"/>
      <w:bookmarkEnd w:id="15"/>
    </w:p>
    <w:p w14:paraId="02094C08">
      <w:pPr>
        <w:adjustRightInd w:val="0"/>
        <w:snapToGrid w:val="0"/>
        <w:spacing w:line="572" w:lineRule="exact"/>
        <w:ind w:firstLine="480" w:firstLineChars="200"/>
        <w:rPr>
          <w:rFonts w:hAnsi="宋体" w:cs="宋体"/>
          <w:color w:val="auto"/>
          <w:highlight w:val="none"/>
        </w:rPr>
      </w:pPr>
      <w:r>
        <w:rPr>
          <w:rFonts w:hint="eastAsia" w:hAnsi="宋体" w:cs="宋体"/>
          <w:bCs/>
          <w:color w:val="auto"/>
          <w:szCs w:val="21"/>
          <w:highlight w:val="none"/>
          <w:lang w:val="en-US" w:eastAsia="zh-CN"/>
        </w:rPr>
        <w:t>8</w:t>
      </w:r>
      <w:r>
        <w:rPr>
          <w:rFonts w:hint="eastAsia" w:hAnsi="宋体" w:cs="宋体"/>
          <w:bCs/>
          <w:color w:val="auto"/>
          <w:szCs w:val="21"/>
          <w:highlight w:val="none"/>
        </w:rPr>
        <w:t>.1</w:t>
      </w:r>
      <w:r>
        <w:rPr>
          <w:rFonts w:hint="eastAsia" w:hAnsi="宋体" w:cs="宋体"/>
          <w:color w:val="auto"/>
          <w:highlight w:val="none"/>
        </w:rPr>
        <w:t>本项目</w:t>
      </w:r>
      <w:r>
        <w:rPr>
          <w:rFonts w:hint="eastAsia" w:hAnsi="宋体" w:cs="宋体"/>
          <w:color w:val="auto"/>
          <w:highlight w:val="none"/>
          <w:lang w:val="en-US" w:eastAsia="zh-CN"/>
        </w:rPr>
        <w:t>免收</w:t>
      </w:r>
      <w:r>
        <w:rPr>
          <w:rFonts w:hint="eastAsia" w:hAnsi="宋体" w:cs="宋体"/>
          <w:color w:val="auto"/>
          <w:highlight w:val="none"/>
        </w:rPr>
        <w:t>投标保证金。</w:t>
      </w:r>
    </w:p>
    <w:p w14:paraId="36C729D0">
      <w:pPr>
        <w:adjustRightInd w:val="0"/>
        <w:snapToGrid w:val="0"/>
        <w:spacing w:line="572" w:lineRule="exact"/>
        <w:ind w:firstLine="480" w:firstLineChars="200"/>
        <w:rPr>
          <w:rFonts w:hAnsi="宋体" w:cs="宋体"/>
          <w:color w:val="auto"/>
          <w:highlight w:val="none"/>
        </w:rPr>
      </w:pPr>
    </w:p>
    <w:p w14:paraId="6DBAF1E1">
      <w:pPr>
        <w:widowControl/>
        <w:jc w:val="left"/>
        <w:rPr>
          <w:rFonts w:hAnsi="宋体" w:cs="宋体"/>
          <w:b/>
          <w:color w:val="auto"/>
          <w:kern w:val="44"/>
          <w:sz w:val="32"/>
          <w:szCs w:val="44"/>
          <w:highlight w:val="none"/>
        </w:rPr>
      </w:pPr>
      <w:r>
        <w:rPr>
          <w:rFonts w:hAnsi="宋体" w:cs="宋体"/>
          <w:bCs/>
          <w:color w:val="auto"/>
          <w:highlight w:val="none"/>
        </w:rPr>
        <w:br w:type="page"/>
      </w:r>
    </w:p>
    <w:p w14:paraId="2ED38D35">
      <w:pPr>
        <w:pStyle w:val="2"/>
        <w:keepNext w:val="0"/>
        <w:keepLines w:val="0"/>
        <w:overflowPunct w:val="0"/>
        <w:autoSpaceDE w:val="0"/>
        <w:autoSpaceDN w:val="0"/>
        <w:adjustRightInd w:val="0"/>
        <w:snapToGrid w:val="0"/>
        <w:jc w:val="center"/>
        <w:rPr>
          <w:rFonts w:ascii="宋体" w:hAnsi="宋体" w:cs="宋体"/>
          <w:bCs w:val="0"/>
          <w:color w:val="auto"/>
          <w:highlight w:val="none"/>
        </w:rPr>
      </w:pPr>
      <w:r>
        <w:rPr>
          <w:rFonts w:hint="eastAsia" w:ascii="宋体" w:hAnsi="宋体" w:cs="宋体"/>
          <w:bCs w:val="0"/>
          <w:color w:val="auto"/>
          <w:highlight w:val="none"/>
        </w:rPr>
        <w:t>第二章   投标人须知</w:t>
      </w:r>
    </w:p>
    <w:p w14:paraId="0EF62DBA">
      <w:pPr>
        <w:pStyle w:val="3"/>
        <w:adjustRightInd w:val="0"/>
        <w:snapToGrid w:val="0"/>
        <w:spacing w:before="0" w:after="0" w:line="360" w:lineRule="auto"/>
        <w:jc w:val="center"/>
        <w:rPr>
          <w:rFonts w:ascii="宋体" w:hAnsi="宋体" w:cs="宋体"/>
          <w:b w:val="0"/>
          <w:color w:val="auto"/>
          <w:sz w:val="28"/>
          <w:szCs w:val="28"/>
          <w:highlight w:val="none"/>
        </w:rPr>
      </w:pPr>
      <w:bookmarkStart w:id="16" w:name="_Toc38879315"/>
      <w:bookmarkStart w:id="17" w:name="_Toc126335766"/>
      <w:r>
        <w:rPr>
          <w:rFonts w:hint="eastAsia" w:ascii="宋体" w:hAnsi="宋体" w:cs="宋体"/>
          <w:b w:val="0"/>
          <w:color w:val="auto"/>
          <w:sz w:val="28"/>
          <w:szCs w:val="28"/>
          <w:highlight w:val="none"/>
        </w:rPr>
        <w:t>投标人须知前附表</w:t>
      </w:r>
      <w:bookmarkEnd w:id="16"/>
      <w:bookmarkEnd w:id="17"/>
    </w:p>
    <w:tbl>
      <w:tblPr>
        <w:tblStyle w:val="54"/>
        <w:tblW w:w="96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454"/>
        <w:gridCol w:w="7257"/>
      </w:tblGrid>
      <w:tr w14:paraId="31B86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956" w:type="dxa"/>
            <w:vAlign w:val="center"/>
          </w:tcPr>
          <w:p w14:paraId="01D9762E">
            <w:pPr>
              <w:adjustRightInd w:val="0"/>
              <w:snapToGrid w:val="0"/>
              <w:spacing w:line="240" w:lineRule="auto"/>
              <w:jc w:val="center"/>
              <w:rPr>
                <w:rFonts w:hAnsi="宋体" w:cs="宋体"/>
                <w:b/>
                <w:color w:val="auto"/>
                <w:kern w:val="2"/>
                <w:sz w:val="21"/>
                <w:szCs w:val="21"/>
                <w:highlight w:val="none"/>
              </w:rPr>
            </w:pPr>
            <w:r>
              <w:rPr>
                <w:rFonts w:hint="eastAsia" w:hAnsi="宋体" w:cs="宋体"/>
                <w:b/>
                <w:color w:val="auto"/>
                <w:kern w:val="2"/>
                <w:sz w:val="21"/>
                <w:szCs w:val="21"/>
                <w:highlight w:val="none"/>
              </w:rPr>
              <w:t>条款号</w:t>
            </w:r>
          </w:p>
        </w:tc>
        <w:tc>
          <w:tcPr>
            <w:tcW w:w="1454" w:type="dxa"/>
            <w:vAlign w:val="center"/>
          </w:tcPr>
          <w:p w14:paraId="46D915C5">
            <w:pPr>
              <w:adjustRightInd w:val="0"/>
              <w:snapToGrid w:val="0"/>
              <w:spacing w:line="240" w:lineRule="auto"/>
              <w:jc w:val="center"/>
              <w:rPr>
                <w:rFonts w:hAnsi="宋体" w:cs="宋体"/>
                <w:b/>
                <w:color w:val="auto"/>
                <w:kern w:val="2"/>
                <w:sz w:val="21"/>
                <w:szCs w:val="21"/>
                <w:highlight w:val="none"/>
              </w:rPr>
            </w:pPr>
            <w:r>
              <w:rPr>
                <w:rFonts w:hint="eastAsia" w:hAnsi="宋体" w:cs="宋体"/>
                <w:b/>
                <w:color w:val="auto"/>
                <w:kern w:val="2"/>
                <w:sz w:val="21"/>
                <w:szCs w:val="21"/>
                <w:highlight w:val="none"/>
              </w:rPr>
              <w:t>条 款 名 称</w:t>
            </w:r>
          </w:p>
        </w:tc>
        <w:tc>
          <w:tcPr>
            <w:tcW w:w="7257" w:type="dxa"/>
            <w:vAlign w:val="center"/>
          </w:tcPr>
          <w:p w14:paraId="0E7DB6B8">
            <w:pPr>
              <w:adjustRightInd w:val="0"/>
              <w:snapToGrid w:val="0"/>
              <w:spacing w:line="240" w:lineRule="auto"/>
              <w:jc w:val="center"/>
              <w:rPr>
                <w:rFonts w:hAnsi="宋体" w:cs="宋体"/>
                <w:b/>
                <w:color w:val="auto"/>
                <w:kern w:val="2"/>
                <w:sz w:val="21"/>
                <w:szCs w:val="21"/>
                <w:highlight w:val="none"/>
              </w:rPr>
            </w:pPr>
            <w:r>
              <w:rPr>
                <w:rFonts w:hint="eastAsia" w:hAnsi="宋体" w:cs="宋体"/>
                <w:b/>
                <w:color w:val="auto"/>
                <w:kern w:val="2"/>
                <w:sz w:val="21"/>
                <w:szCs w:val="21"/>
                <w:highlight w:val="none"/>
              </w:rPr>
              <w:t>编 列 内 容</w:t>
            </w:r>
          </w:p>
        </w:tc>
      </w:tr>
      <w:tr w14:paraId="39771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DC612C6">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1.1.2</w:t>
            </w:r>
          </w:p>
        </w:tc>
        <w:tc>
          <w:tcPr>
            <w:tcW w:w="1454" w:type="dxa"/>
            <w:vAlign w:val="center"/>
          </w:tcPr>
          <w:p w14:paraId="6FDE721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招标人</w:t>
            </w:r>
          </w:p>
        </w:tc>
        <w:tc>
          <w:tcPr>
            <w:tcW w:w="7257" w:type="dxa"/>
            <w:vAlign w:val="center"/>
          </w:tcPr>
          <w:p w14:paraId="75C675E5">
            <w:pPr>
              <w:adjustRightInd w:val="0"/>
              <w:snapToGrid w:val="0"/>
              <w:spacing w:line="240" w:lineRule="auto"/>
              <w:jc w:val="left"/>
              <w:rPr>
                <w:rFonts w:hAnsi="宋体" w:cs="宋体"/>
                <w:color w:val="auto"/>
                <w:kern w:val="2"/>
                <w:sz w:val="21"/>
                <w:szCs w:val="21"/>
                <w:highlight w:val="none"/>
              </w:rPr>
            </w:pPr>
            <w:r>
              <w:rPr>
                <w:rFonts w:hint="eastAsia" w:hAnsi="宋体" w:cs="宋体"/>
                <w:color w:val="auto"/>
                <w:kern w:val="2"/>
                <w:sz w:val="21"/>
                <w:szCs w:val="21"/>
                <w:highlight w:val="none"/>
              </w:rPr>
              <w:t>见招标公告</w:t>
            </w:r>
          </w:p>
        </w:tc>
      </w:tr>
      <w:tr w14:paraId="4C57B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221398E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1.1.3</w:t>
            </w:r>
          </w:p>
        </w:tc>
        <w:tc>
          <w:tcPr>
            <w:tcW w:w="1454" w:type="dxa"/>
            <w:vAlign w:val="center"/>
          </w:tcPr>
          <w:p w14:paraId="0C7E061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招标代理机构</w:t>
            </w:r>
          </w:p>
        </w:tc>
        <w:tc>
          <w:tcPr>
            <w:tcW w:w="7257" w:type="dxa"/>
            <w:vAlign w:val="center"/>
          </w:tcPr>
          <w:p w14:paraId="201AA031">
            <w:pPr>
              <w:adjustRightInd w:val="0"/>
              <w:snapToGrid w:val="0"/>
              <w:spacing w:line="240" w:lineRule="auto"/>
              <w:jc w:val="left"/>
              <w:rPr>
                <w:rFonts w:hAnsi="宋体" w:cs="宋体"/>
                <w:color w:val="auto"/>
                <w:kern w:val="2"/>
                <w:sz w:val="21"/>
                <w:szCs w:val="21"/>
                <w:highlight w:val="none"/>
              </w:rPr>
            </w:pPr>
            <w:r>
              <w:rPr>
                <w:rFonts w:hint="eastAsia" w:hAnsi="宋体" w:cs="宋体"/>
                <w:color w:val="auto"/>
                <w:kern w:val="2"/>
                <w:sz w:val="21"/>
                <w:szCs w:val="21"/>
                <w:highlight w:val="none"/>
              </w:rPr>
              <w:t>见招标公告</w:t>
            </w:r>
          </w:p>
        </w:tc>
      </w:tr>
      <w:tr w14:paraId="3EB52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11B37F8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1.1.4</w:t>
            </w:r>
          </w:p>
        </w:tc>
        <w:tc>
          <w:tcPr>
            <w:tcW w:w="1454" w:type="dxa"/>
            <w:vAlign w:val="center"/>
          </w:tcPr>
          <w:p w14:paraId="5C6168C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招标项目名称</w:t>
            </w:r>
          </w:p>
        </w:tc>
        <w:tc>
          <w:tcPr>
            <w:tcW w:w="7257" w:type="dxa"/>
            <w:vAlign w:val="center"/>
          </w:tcPr>
          <w:p w14:paraId="4B42E996">
            <w:pPr>
              <w:adjustRightInd w:val="0"/>
              <w:snapToGrid w:val="0"/>
              <w:spacing w:line="240" w:lineRule="auto"/>
              <w:jc w:val="left"/>
              <w:rPr>
                <w:rFonts w:hAnsi="宋体" w:cs="宋体"/>
                <w:color w:val="auto"/>
                <w:kern w:val="2"/>
                <w:sz w:val="21"/>
                <w:szCs w:val="21"/>
                <w:highlight w:val="none"/>
              </w:rPr>
            </w:pPr>
            <w:r>
              <w:rPr>
                <w:rFonts w:hint="eastAsia" w:hAnsi="宋体" w:cs="宋体"/>
                <w:color w:val="auto"/>
                <w:kern w:val="2"/>
                <w:sz w:val="21"/>
                <w:szCs w:val="21"/>
                <w:highlight w:val="none"/>
              </w:rPr>
              <w:t>见招标公告</w:t>
            </w:r>
          </w:p>
        </w:tc>
      </w:tr>
      <w:tr w14:paraId="5A682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F674CB5">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1.2.3</w:t>
            </w:r>
          </w:p>
        </w:tc>
        <w:tc>
          <w:tcPr>
            <w:tcW w:w="1454" w:type="dxa"/>
            <w:vAlign w:val="center"/>
          </w:tcPr>
          <w:p w14:paraId="33DE9E2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资金落实情况</w:t>
            </w:r>
          </w:p>
        </w:tc>
        <w:tc>
          <w:tcPr>
            <w:tcW w:w="7257" w:type="dxa"/>
            <w:vAlign w:val="center"/>
          </w:tcPr>
          <w:p w14:paraId="7D31582C">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已落实</w:t>
            </w:r>
          </w:p>
        </w:tc>
      </w:tr>
      <w:tr w14:paraId="7FAAC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5159298">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1.3.1</w:t>
            </w:r>
          </w:p>
        </w:tc>
        <w:tc>
          <w:tcPr>
            <w:tcW w:w="1454" w:type="dxa"/>
            <w:vAlign w:val="center"/>
          </w:tcPr>
          <w:p w14:paraId="5D2F9CAF">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招标范围</w:t>
            </w:r>
          </w:p>
        </w:tc>
        <w:tc>
          <w:tcPr>
            <w:tcW w:w="7257" w:type="dxa"/>
            <w:vAlign w:val="center"/>
          </w:tcPr>
          <w:p w14:paraId="4473D2BC">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见招标公告</w:t>
            </w:r>
          </w:p>
        </w:tc>
      </w:tr>
      <w:tr w14:paraId="46A69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9466D45">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1.3.2</w:t>
            </w:r>
          </w:p>
        </w:tc>
        <w:tc>
          <w:tcPr>
            <w:tcW w:w="1454" w:type="dxa"/>
            <w:vAlign w:val="center"/>
          </w:tcPr>
          <w:p w14:paraId="0AF94D45">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计划工期</w:t>
            </w:r>
          </w:p>
        </w:tc>
        <w:tc>
          <w:tcPr>
            <w:tcW w:w="7257" w:type="dxa"/>
            <w:vAlign w:val="center"/>
          </w:tcPr>
          <w:p w14:paraId="6BFEE4A0">
            <w:pPr>
              <w:adjustRightInd w:val="0"/>
              <w:snapToGrid w:val="0"/>
              <w:spacing w:line="240" w:lineRule="auto"/>
              <w:jc w:val="left"/>
              <w:rPr>
                <w:rFonts w:hAnsi="宋体" w:cs="宋体"/>
                <w:color w:val="auto"/>
                <w:kern w:val="2"/>
                <w:sz w:val="21"/>
                <w:szCs w:val="21"/>
                <w:highlight w:val="none"/>
                <w:u w:val="single"/>
              </w:rPr>
            </w:pPr>
            <w:r>
              <w:rPr>
                <w:rFonts w:hint="eastAsia" w:hAnsi="宋体" w:cs="宋体"/>
                <w:color w:val="auto"/>
                <w:kern w:val="2"/>
                <w:sz w:val="21"/>
                <w:szCs w:val="21"/>
                <w:highlight w:val="none"/>
              </w:rPr>
              <w:t>见招标公告</w:t>
            </w:r>
          </w:p>
        </w:tc>
      </w:tr>
      <w:tr w14:paraId="45E45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28FBEF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1.3.3</w:t>
            </w:r>
          </w:p>
        </w:tc>
        <w:tc>
          <w:tcPr>
            <w:tcW w:w="1454" w:type="dxa"/>
            <w:vAlign w:val="center"/>
          </w:tcPr>
          <w:p w14:paraId="2B46A3AB">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质量要求</w:t>
            </w:r>
          </w:p>
        </w:tc>
        <w:tc>
          <w:tcPr>
            <w:tcW w:w="7257" w:type="dxa"/>
            <w:vAlign w:val="center"/>
          </w:tcPr>
          <w:p w14:paraId="2C8316DA">
            <w:pPr>
              <w:adjustRightInd w:val="0"/>
              <w:snapToGrid w:val="0"/>
              <w:spacing w:line="240" w:lineRule="auto"/>
              <w:rPr>
                <w:rFonts w:hint="eastAsia" w:hAnsi="宋体" w:eastAsia="宋体" w:cs="宋体"/>
                <w:b w:val="0"/>
                <w:bCs/>
                <w:color w:val="auto"/>
                <w:kern w:val="2"/>
                <w:sz w:val="21"/>
                <w:szCs w:val="21"/>
                <w:highlight w:val="none"/>
                <w:lang w:eastAsia="zh-CN"/>
              </w:rPr>
            </w:pPr>
            <w:r>
              <w:rPr>
                <w:rFonts w:hint="eastAsia" w:ascii="宋体" w:hAnsi="宋体" w:eastAsia="宋体" w:cs="宋体"/>
                <w:color w:val="auto"/>
                <w:kern w:val="2"/>
                <w:sz w:val="21"/>
                <w:szCs w:val="21"/>
                <w:highlight w:val="none"/>
              </w:rPr>
              <w:t>合格</w:t>
            </w:r>
            <w:r>
              <w:rPr>
                <w:rFonts w:hint="eastAsia" w:hAnsi="宋体" w:cs="宋体"/>
                <w:color w:val="auto"/>
                <w:kern w:val="2"/>
                <w:sz w:val="21"/>
                <w:szCs w:val="21"/>
                <w:highlight w:val="none"/>
                <w:lang w:eastAsia="zh-CN"/>
              </w:rPr>
              <w:t>。达到污水管道CCTV检测技术要求，影像资料及图片必须清楚；污水井根据图纸需编好号。视频资料屏幕上录像时须标注路段管段及井内详细管道高程、井深、管径等数据资料，满足现行国家、地方法律法规及相关规范要求，对出具的报告书负有法律责任。</w:t>
            </w:r>
          </w:p>
        </w:tc>
      </w:tr>
      <w:tr w14:paraId="6FA6F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3E2DF84">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1.4.1</w:t>
            </w:r>
          </w:p>
        </w:tc>
        <w:tc>
          <w:tcPr>
            <w:tcW w:w="1454" w:type="dxa"/>
            <w:vAlign w:val="center"/>
          </w:tcPr>
          <w:p w14:paraId="74838DE9">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投标人资质条件、能力和信誉</w:t>
            </w:r>
          </w:p>
        </w:tc>
        <w:tc>
          <w:tcPr>
            <w:tcW w:w="7257" w:type="dxa"/>
            <w:vAlign w:val="center"/>
          </w:tcPr>
          <w:p w14:paraId="5B08E94E">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（1）资质条件：见附录1</w:t>
            </w:r>
          </w:p>
          <w:p w14:paraId="050407E5">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（2）业绩要求：见附录2</w:t>
            </w:r>
          </w:p>
          <w:p w14:paraId="7C252923">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（3）信誉要求：见附录3</w:t>
            </w:r>
          </w:p>
          <w:p w14:paraId="5B712711">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 xml:space="preserve">（4）项目负责人资格：见附录4 </w:t>
            </w:r>
          </w:p>
        </w:tc>
      </w:tr>
      <w:tr w14:paraId="1915E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5C20CD8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1.4.2</w:t>
            </w:r>
          </w:p>
        </w:tc>
        <w:tc>
          <w:tcPr>
            <w:tcW w:w="1454" w:type="dxa"/>
            <w:vAlign w:val="center"/>
          </w:tcPr>
          <w:p w14:paraId="65177D17">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是否接受</w:t>
            </w:r>
          </w:p>
          <w:p w14:paraId="06E8656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联合体投标</w:t>
            </w:r>
          </w:p>
        </w:tc>
        <w:tc>
          <w:tcPr>
            <w:tcW w:w="7257" w:type="dxa"/>
            <w:vAlign w:val="center"/>
          </w:tcPr>
          <w:p w14:paraId="456A6157">
            <w:pPr>
              <w:adjustRightInd w:val="0"/>
              <w:snapToGrid w:val="0"/>
              <w:spacing w:line="240" w:lineRule="auto"/>
              <w:rPr>
                <w:rFonts w:hAnsi="宋体" w:cs="宋体"/>
                <w:color w:val="auto"/>
                <w:kern w:val="2"/>
                <w:sz w:val="21"/>
                <w:szCs w:val="21"/>
                <w:highlight w:val="none"/>
                <w:u w:val="single"/>
              </w:rPr>
            </w:pPr>
            <w:r>
              <w:rPr>
                <w:rFonts w:hint="eastAsia" w:hAnsi="宋体" w:cs="宋体"/>
                <w:color w:val="auto"/>
                <w:kern w:val="2"/>
                <w:sz w:val="21"/>
                <w:szCs w:val="21"/>
                <w:highlight w:val="none"/>
                <w:u w:val="single"/>
              </w:rPr>
              <w:t>见招标公告</w:t>
            </w:r>
          </w:p>
        </w:tc>
      </w:tr>
      <w:tr w14:paraId="3C49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9BEE5A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1.4.3</w:t>
            </w:r>
          </w:p>
        </w:tc>
        <w:tc>
          <w:tcPr>
            <w:tcW w:w="1454" w:type="dxa"/>
            <w:vAlign w:val="center"/>
          </w:tcPr>
          <w:p w14:paraId="7317556A">
            <w:pPr>
              <w:pStyle w:val="327"/>
              <w:tabs>
                <w:tab w:val="left" w:pos="2006"/>
              </w:tabs>
              <w:spacing w:before="152" w:line="240" w:lineRule="auto"/>
              <w:ind w:left="106" w:leftChars="0"/>
              <w:jc w:val="center"/>
              <w:rPr>
                <w:rFonts w:hAnsi="宋体" w:cs="宋体"/>
                <w:color w:val="auto"/>
                <w:kern w:val="2"/>
                <w:sz w:val="21"/>
                <w:szCs w:val="21"/>
                <w:highlight w:val="none"/>
              </w:rPr>
            </w:pPr>
            <w:r>
              <w:rPr>
                <w:rFonts w:hint="eastAsia" w:ascii="宋体" w:hAnsi="宋体" w:eastAsia="宋体" w:cs="宋体"/>
                <w:bCs/>
                <w:color w:val="auto"/>
                <w:sz w:val="21"/>
                <w:szCs w:val="21"/>
                <w:highlight w:val="none"/>
                <w:u w:val="none"/>
              </w:rPr>
              <w:t>投标人不得存在的其他关联情形</w:t>
            </w:r>
          </w:p>
        </w:tc>
        <w:tc>
          <w:tcPr>
            <w:tcW w:w="7257" w:type="dxa"/>
            <w:vAlign w:val="center"/>
          </w:tcPr>
          <w:p w14:paraId="7DAC9B8A">
            <w:pPr>
              <w:pStyle w:val="327"/>
              <w:numPr>
                <w:ilvl w:val="0"/>
                <w:numId w:val="0"/>
              </w:numPr>
              <w:tabs>
                <w:tab w:val="left" w:pos="2006"/>
              </w:tabs>
              <w:spacing w:before="152" w:line="240" w:lineRule="auto"/>
              <w:ind w:left="0" w:leftChars="0" w:right="0" w:rightChars="0"/>
              <w:jc w:val="both"/>
              <w:rPr>
                <w:rFonts w:hint="eastAsia" w:ascii="宋体" w:hAnsi="宋体" w:eastAsia="宋体" w:cs="宋体"/>
                <w:bCs/>
                <w:color w:val="auto"/>
                <w:sz w:val="21"/>
                <w:szCs w:val="21"/>
                <w:highlight w:val="none"/>
                <w:u w:val="none"/>
              </w:rPr>
            </w:pPr>
            <w:r>
              <w:rPr>
                <w:rFonts w:hint="eastAsia" w:ascii="宋体" w:hAnsi="宋体" w:eastAsia="宋体" w:cs="宋体"/>
                <w:bCs/>
                <w:color w:val="auto"/>
                <w:sz w:val="21"/>
                <w:szCs w:val="21"/>
                <w:highlight w:val="none"/>
                <w:lang w:val="en-US" w:eastAsia="en-US" w:bidi="ar-SA"/>
              </w:rPr>
              <w:t>1.</w:t>
            </w:r>
            <w:r>
              <w:rPr>
                <w:rFonts w:hint="eastAsia" w:ascii="宋体" w:hAnsi="宋体" w:eastAsia="宋体" w:cs="宋体"/>
                <w:bCs/>
                <w:color w:val="auto"/>
                <w:sz w:val="21"/>
                <w:szCs w:val="21"/>
                <w:highlight w:val="none"/>
                <w:u w:val="none"/>
              </w:rPr>
              <w:t>法</w:t>
            </w:r>
            <w:r>
              <w:rPr>
                <w:rFonts w:hint="eastAsia" w:ascii="宋体" w:hAnsi="宋体" w:eastAsia="宋体" w:cs="宋体"/>
                <w:bCs/>
                <w:color w:val="auto"/>
                <w:sz w:val="21"/>
                <w:szCs w:val="21"/>
                <w:highlight w:val="none"/>
                <w:u w:val="none"/>
                <w:lang w:val="en-US" w:eastAsia="zh-CN"/>
              </w:rPr>
              <w:t>律法规规定的不得存在的关</w:t>
            </w:r>
            <w:r>
              <w:rPr>
                <w:rFonts w:hint="eastAsia" w:ascii="宋体" w:hAnsi="宋体" w:eastAsia="宋体" w:cs="宋体"/>
                <w:bCs/>
                <w:color w:val="auto"/>
                <w:sz w:val="21"/>
                <w:szCs w:val="21"/>
                <w:highlight w:val="none"/>
                <w:u w:val="none"/>
              </w:rPr>
              <w:t>联情形及投标人须知正文第1.4.3条。</w:t>
            </w:r>
          </w:p>
          <w:p w14:paraId="133786D3">
            <w:pPr>
              <w:pStyle w:val="327"/>
              <w:numPr>
                <w:ilvl w:val="0"/>
                <w:numId w:val="0"/>
              </w:numPr>
              <w:tabs>
                <w:tab w:val="left" w:pos="2006"/>
              </w:tabs>
              <w:spacing w:before="152" w:line="240" w:lineRule="auto"/>
              <w:ind w:right="0" w:rightChars="0"/>
              <w:jc w:val="both"/>
              <w:rPr>
                <w:rFonts w:hint="default" w:ascii="宋体" w:hAnsi="宋体" w:eastAsia="宋体" w:cs="宋体"/>
                <w:bCs/>
                <w:color w:val="auto"/>
                <w:sz w:val="21"/>
                <w:szCs w:val="21"/>
                <w:highlight w:val="none"/>
                <w:u w:val="none"/>
                <w:lang w:val="en-US" w:eastAsia="zh-CN"/>
              </w:rPr>
            </w:pPr>
            <w:r>
              <w:rPr>
                <w:rFonts w:hint="eastAsia" w:cs="宋体"/>
                <w:bCs/>
                <w:color w:val="auto"/>
                <w:sz w:val="21"/>
                <w:szCs w:val="21"/>
                <w:highlight w:val="none"/>
                <w:u w:val="none"/>
                <w:lang w:val="en-US" w:eastAsia="zh-CN"/>
              </w:rPr>
              <w:t>2.“铜陵市郊区城镇污水处理设施提质增效工程一期（老洲镇灰河乡陈瑶湖镇）PC＋O（施工采购安装运维一体化）项目（二次）”和“铜陵市郊区乡镇污水治理项目二期（周潭镇、铜山镇、安铜办）PC+O（施工采购安装运维一体化）项目”的两个项目的中标方联合体成员及参加两个项目的分包施工工作的单位不得参与投标。</w:t>
            </w:r>
          </w:p>
        </w:tc>
      </w:tr>
      <w:tr w14:paraId="139A8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5E52CE7">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1.4.4</w:t>
            </w:r>
          </w:p>
        </w:tc>
        <w:tc>
          <w:tcPr>
            <w:tcW w:w="1454" w:type="dxa"/>
            <w:vAlign w:val="center"/>
          </w:tcPr>
          <w:p w14:paraId="19A2E610">
            <w:pPr>
              <w:pStyle w:val="327"/>
              <w:tabs>
                <w:tab w:val="left" w:pos="2006"/>
              </w:tabs>
              <w:spacing w:before="152" w:line="240" w:lineRule="auto"/>
              <w:ind w:left="106" w:leftChars="0"/>
              <w:jc w:val="center"/>
              <w:rPr>
                <w:rFonts w:hAnsi="宋体" w:cs="宋体"/>
                <w:color w:val="auto"/>
                <w:kern w:val="2"/>
                <w:sz w:val="21"/>
                <w:szCs w:val="21"/>
                <w:highlight w:val="none"/>
              </w:rPr>
            </w:pPr>
            <w:r>
              <w:rPr>
                <w:rFonts w:hint="eastAsia" w:ascii="宋体" w:hAnsi="宋体" w:eastAsia="宋体" w:cs="宋体"/>
                <w:bCs/>
                <w:color w:val="auto"/>
                <w:sz w:val="21"/>
                <w:szCs w:val="21"/>
                <w:highlight w:val="none"/>
                <w:u w:val="none"/>
              </w:rPr>
              <w:t>投标人不得存在的其他不良状况或不良信用记录</w:t>
            </w:r>
          </w:p>
        </w:tc>
        <w:tc>
          <w:tcPr>
            <w:tcW w:w="7257" w:type="dxa"/>
            <w:vAlign w:val="center"/>
          </w:tcPr>
          <w:p w14:paraId="5FF3BBB3">
            <w:pPr>
              <w:pStyle w:val="327"/>
              <w:keepNext w:val="0"/>
              <w:keepLines w:val="0"/>
              <w:pageBreakBefore w:val="0"/>
              <w:widowControl w:val="0"/>
              <w:tabs>
                <w:tab w:val="left" w:pos="2006"/>
              </w:tabs>
              <w:kinsoku/>
              <w:wordWrap/>
              <w:overflowPunct/>
              <w:topLinePunct w:val="0"/>
              <w:autoSpaceDE w:val="0"/>
              <w:autoSpaceDN w:val="0"/>
              <w:bidi w:val="0"/>
              <w:adjustRightInd/>
              <w:snapToGrid/>
              <w:spacing w:before="0" w:line="240" w:lineRule="auto"/>
              <w:ind w:left="0" w:right="0" w:firstLine="0" w:firstLineChars="0"/>
              <w:jc w:val="both"/>
              <w:rPr>
                <w:rFonts w:hint="eastAsia" w:ascii="宋体" w:hAnsi="宋体" w:eastAsia="宋体" w:cs="宋体"/>
                <w:bCs/>
                <w:color w:val="auto"/>
                <w:sz w:val="21"/>
                <w:szCs w:val="21"/>
                <w:highlight w:val="none"/>
                <w:u w:val="none"/>
                <w:lang w:val="en-US" w:eastAsia="zh-CN"/>
              </w:rPr>
            </w:pPr>
            <w:r>
              <w:rPr>
                <w:rFonts w:hint="eastAsia" w:ascii="宋体" w:hAnsi="宋体" w:eastAsia="宋体" w:cs="宋体"/>
                <w:bCs/>
                <w:color w:val="auto"/>
                <w:sz w:val="21"/>
                <w:szCs w:val="21"/>
                <w:highlight w:val="none"/>
                <w:u w:val="none"/>
                <w:lang w:val="en-US" w:eastAsia="zh-CN"/>
              </w:rPr>
              <w:t>有下列失信行为之一的，不得参与投标，不得推荐为中标候选人：</w:t>
            </w:r>
          </w:p>
          <w:p w14:paraId="3955BA13">
            <w:pPr>
              <w:pStyle w:val="327"/>
              <w:keepNext w:val="0"/>
              <w:keepLines w:val="0"/>
              <w:pageBreakBefore w:val="0"/>
              <w:widowControl w:val="0"/>
              <w:tabs>
                <w:tab w:val="left" w:pos="2006"/>
              </w:tabs>
              <w:kinsoku/>
              <w:wordWrap/>
              <w:overflowPunct/>
              <w:topLinePunct w:val="0"/>
              <w:autoSpaceDE w:val="0"/>
              <w:autoSpaceDN w:val="0"/>
              <w:bidi w:val="0"/>
              <w:adjustRightInd/>
              <w:snapToGrid/>
              <w:spacing w:before="0" w:line="240" w:lineRule="auto"/>
              <w:ind w:left="0" w:right="0" w:firstLine="0" w:firstLineChars="0"/>
              <w:jc w:val="both"/>
              <w:rPr>
                <w:rFonts w:hint="eastAsia" w:ascii="宋体" w:hAnsi="宋体" w:eastAsia="宋体" w:cs="宋体"/>
                <w:bCs/>
                <w:color w:val="auto"/>
                <w:sz w:val="21"/>
                <w:szCs w:val="21"/>
                <w:highlight w:val="none"/>
                <w:u w:val="none"/>
                <w:lang w:val="en-US" w:eastAsia="zh-CN"/>
              </w:rPr>
            </w:pPr>
            <w:r>
              <w:rPr>
                <w:rFonts w:hint="eastAsia" w:ascii="宋体" w:hAnsi="宋体" w:eastAsia="宋体" w:cs="宋体"/>
                <w:bCs/>
                <w:color w:val="auto"/>
                <w:sz w:val="21"/>
                <w:szCs w:val="21"/>
                <w:highlight w:val="none"/>
                <w:u w:val="none"/>
                <w:lang w:val="en-US" w:eastAsia="zh-CN"/>
              </w:rPr>
              <w:t>（1）被铜陵市住建局纳入“黑名单”管理的；</w:t>
            </w:r>
          </w:p>
          <w:p w14:paraId="08B1E757">
            <w:pPr>
              <w:pStyle w:val="327"/>
              <w:keepNext w:val="0"/>
              <w:keepLines w:val="0"/>
              <w:pageBreakBefore w:val="0"/>
              <w:widowControl w:val="0"/>
              <w:tabs>
                <w:tab w:val="left" w:pos="2006"/>
              </w:tabs>
              <w:kinsoku/>
              <w:wordWrap/>
              <w:overflowPunct/>
              <w:topLinePunct w:val="0"/>
              <w:autoSpaceDE w:val="0"/>
              <w:autoSpaceDN w:val="0"/>
              <w:bidi w:val="0"/>
              <w:adjustRightInd/>
              <w:snapToGrid/>
              <w:spacing w:before="0" w:line="240" w:lineRule="auto"/>
              <w:ind w:left="0" w:leftChars="0" w:right="0" w:rightChars="0" w:firstLine="0" w:firstLineChars="0"/>
              <w:jc w:val="both"/>
              <w:rPr>
                <w:rFonts w:hAnsi="宋体" w:cs="宋体"/>
                <w:b/>
                <w:color w:val="auto"/>
                <w:kern w:val="2"/>
                <w:sz w:val="21"/>
                <w:szCs w:val="21"/>
                <w:highlight w:val="none"/>
              </w:rPr>
            </w:pPr>
            <w:r>
              <w:rPr>
                <w:rFonts w:hint="eastAsia" w:ascii="宋体" w:hAnsi="宋体" w:eastAsia="宋体" w:cs="宋体"/>
                <w:bCs/>
                <w:color w:val="auto"/>
                <w:sz w:val="21"/>
                <w:szCs w:val="21"/>
                <w:highlight w:val="none"/>
                <w:u w:val="none"/>
                <w:lang w:val="en-US" w:eastAsia="zh-CN"/>
              </w:rPr>
              <w:t>（2）如本项目为重新招标，在之前投标中放弃中标资格的；</w:t>
            </w:r>
          </w:p>
        </w:tc>
      </w:tr>
      <w:tr w14:paraId="1EADE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22190127">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1.9.1</w:t>
            </w:r>
          </w:p>
        </w:tc>
        <w:tc>
          <w:tcPr>
            <w:tcW w:w="1454" w:type="dxa"/>
            <w:vAlign w:val="center"/>
          </w:tcPr>
          <w:p w14:paraId="388C27E0">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踏勘现场</w:t>
            </w:r>
          </w:p>
        </w:tc>
        <w:tc>
          <w:tcPr>
            <w:tcW w:w="7257" w:type="dxa"/>
            <w:vAlign w:val="center"/>
          </w:tcPr>
          <w:p w14:paraId="3B8B8E2B">
            <w:pPr>
              <w:adjustRightInd w:val="0"/>
              <w:snapToGrid w:val="0"/>
              <w:spacing w:line="240" w:lineRule="auto"/>
              <w:rPr>
                <w:rFonts w:hAnsi="宋体" w:cs="宋体"/>
                <w:color w:val="auto"/>
                <w:kern w:val="2"/>
                <w:sz w:val="21"/>
                <w:szCs w:val="21"/>
                <w:highlight w:val="none"/>
                <w:u w:val="single"/>
              </w:rPr>
            </w:pPr>
            <w:r>
              <w:rPr>
                <w:rFonts w:hint="eastAsia" w:ascii="MS Gothic" w:hAnsi="MS Gothic" w:eastAsia="MS Gothic" w:cs="MS Gothic"/>
                <w:color w:val="auto"/>
                <w:kern w:val="2"/>
                <w:sz w:val="21"/>
                <w:szCs w:val="21"/>
                <w:highlight w:val="none"/>
              </w:rPr>
              <w:t>☑</w:t>
            </w:r>
            <w:r>
              <w:rPr>
                <w:rFonts w:hint="eastAsia" w:hAnsi="宋体" w:cs="宋体"/>
                <w:color w:val="auto"/>
                <w:kern w:val="2"/>
                <w:sz w:val="21"/>
                <w:szCs w:val="21"/>
                <w:highlight w:val="none"/>
              </w:rPr>
              <w:t>不组织，投标人自行踏勘</w:t>
            </w:r>
          </w:p>
        </w:tc>
      </w:tr>
      <w:tr w14:paraId="48580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716F757">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1.10.1</w:t>
            </w:r>
          </w:p>
        </w:tc>
        <w:tc>
          <w:tcPr>
            <w:tcW w:w="1454" w:type="dxa"/>
            <w:vAlign w:val="center"/>
          </w:tcPr>
          <w:p w14:paraId="2430982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投标预备会</w:t>
            </w:r>
          </w:p>
        </w:tc>
        <w:tc>
          <w:tcPr>
            <w:tcW w:w="7257" w:type="dxa"/>
            <w:vAlign w:val="center"/>
          </w:tcPr>
          <w:p w14:paraId="0DEE26B3">
            <w:pPr>
              <w:adjustRightInd w:val="0"/>
              <w:snapToGrid w:val="0"/>
              <w:spacing w:line="240" w:lineRule="auto"/>
              <w:rPr>
                <w:rFonts w:hAnsi="宋体" w:cs="宋体"/>
                <w:color w:val="auto"/>
                <w:kern w:val="2"/>
                <w:sz w:val="21"/>
                <w:szCs w:val="21"/>
                <w:highlight w:val="none"/>
              </w:rPr>
            </w:pPr>
            <w:r>
              <w:rPr>
                <w:rFonts w:hint="eastAsia" w:ascii="MS Gothic" w:hAnsi="MS Gothic" w:eastAsia="MS Gothic" w:cs="MS Gothic"/>
                <w:color w:val="auto"/>
                <w:kern w:val="2"/>
                <w:sz w:val="21"/>
                <w:szCs w:val="21"/>
                <w:highlight w:val="none"/>
              </w:rPr>
              <w:t>☑</w:t>
            </w:r>
            <w:r>
              <w:rPr>
                <w:rFonts w:hint="eastAsia" w:hAnsi="宋体" w:cs="宋体"/>
                <w:color w:val="auto"/>
                <w:kern w:val="2"/>
                <w:sz w:val="21"/>
                <w:szCs w:val="21"/>
                <w:highlight w:val="none"/>
              </w:rPr>
              <w:t>不召开</w:t>
            </w:r>
          </w:p>
        </w:tc>
      </w:tr>
      <w:tr w14:paraId="1D88D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B9BFE0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2.1</w:t>
            </w:r>
          </w:p>
        </w:tc>
        <w:tc>
          <w:tcPr>
            <w:tcW w:w="1454" w:type="dxa"/>
            <w:vAlign w:val="center"/>
          </w:tcPr>
          <w:p w14:paraId="749BD73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构成招标文件的其他资料</w:t>
            </w:r>
          </w:p>
        </w:tc>
        <w:tc>
          <w:tcPr>
            <w:tcW w:w="7257" w:type="dxa"/>
            <w:vAlign w:val="center"/>
          </w:tcPr>
          <w:p w14:paraId="45E0F100">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补充公告（如有）、答疑（如有）等随招标文件发布的全部资料。</w:t>
            </w:r>
          </w:p>
        </w:tc>
      </w:tr>
      <w:tr w14:paraId="0D9E7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restart"/>
            <w:vAlign w:val="center"/>
          </w:tcPr>
          <w:p w14:paraId="6CE2573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2.2.1</w:t>
            </w:r>
          </w:p>
        </w:tc>
        <w:tc>
          <w:tcPr>
            <w:tcW w:w="1454" w:type="dxa"/>
            <w:vMerge w:val="restart"/>
            <w:vAlign w:val="center"/>
          </w:tcPr>
          <w:p w14:paraId="785E70E1">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投标人要求澄清招标文件</w:t>
            </w:r>
          </w:p>
        </w:tc>
        <w:tc>
          <w:tcPr>
            <w:tcW w:w="7257" w:type="dxa"/>
            <w:vAlign w:val="center"/>
          </w:tcPr>
          <w:p w14:paraId="2885DB81">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截止时间：</w:t>
            </w:r>
            <w:r>
              <w:rPr>
                <w:rFonts w:hint="eastAsia" w:hAnsi="宋体" w:cs="宋体"/>
                <w:color w:val="auto"/>
                <w:kern w:val="2"/>
                <w:sz w:val="21"/>
                <w:szCs w:val="21"/>
                <w:highlight w:val="none"/>
                <w:u w:val="single"/>
              </w:rPr>
              <w:t>投标截止</w:t>
            </w:r>
            <w:r>
              <w:rPr>
                <w:rFonts w:hint="eastAsia" w:hAnsi="宋体" w:cs="宋体"/>
                <w:color w:val="auto"/>
                <w:kern w:val="2"/>
                <w:sz w:val="21"/>
                <w:szCs w:val="21"/>
                <w:highlight w:val="none"/>
                <w:u w:val="single"/>
                <w:lang w:val="en-US" w:eastAsia="zh-CN"/>
              </w:rPr>
              <w:t>3</w:t>
            </w:r>
            <w:r>
              <w:rPr>
                <w:rFonts w:hint="eastAsia" w:hAnsi="宋体" w:cs="宋体"/>
                <w:color w:val="auto"/>
                <w:kern w:val="2"/>
                <w:sz w:val="21"/>
                <w:szCs w:val="21"/>
                <w:highlight w:val="none"/>
                <w:u w:val="single"/>
              </w:rPr>
              <w:t>日前</w:t>
            </w:r>
            <w:r>
              <w:rPr>
                <w:rFonts w:hint="eastAsia" w:hAnsi="宋体" w:cs="宋体"/>
                <w:bCs/>
                <w:color w:val="auto"/>
                <w:kern w:val="2"/>
                <w:sz w:val="21"/>
                <w:szCs w:val="21"/>
                <w:highlight w:val="none"/>
              </w:rPr>
              <w:t>。</w:t>
            </w:r>
          </w:p>
        </w:tc>
      </w:tr>
      <w:tr w14:paraId="6CFE4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vAlign w:val="center"/>
          </w:tcPr>
          <w:p w14:paraId="26676152">
            <w:pPr>
              <w:adjustRightInd w:val="0"/>
              <w:snapToGrid w:val="0"/>
              <w:spacing w:line="240" w:lineRule="auto"/>
              <w:jc w:val="center"/>
              <w:rPr>
                <w:rFonts w:hAnsi="宋体" w:cs="宋体"/>
                <w:color w:val="auto"/>
                <w:kern w:val="2"/>
                <w:sz w:val="21"/>
                <w:szCs w:val="21"/>
                <w:highlight w:val="none"/>
              </w:rPr>
            </w:pPr>
          </w:p>
        </w:tc>
        <w:tc>
          <w:tcPr>
            <w:tcW w:w="1454" w:type="dxa"/>
            <w:vMerge w:val="continue"/>
            <w:vAlign w:val="center"/>
          </w:tcPr>
          <w:p w14:paraId="68362C75">
            <w:pPr>
              <w:adjustRightInd w:val="0"/>
              <w:snapToGrid w:val="0"/>
              <w:spacing w:line="240" w:lineRule="auto"/>
              <w:jc w:val="center"/>
              <w:rPr>
                <w:rFonts w:hAnsi="宋体" w:cs="宋体"/>
                <w:color w:val="auto"/>
                <w:kern w:val="2"/>
                <w:sz w:val="21"/>
                <w:szCs w:val="21"/>
                <w:highlight w:val="none"/>
              </w:rPr>
            </w:pPr>
          </w:p>
        </w:tc>
        <w:tc>
          <w:tcPr>
            <w:tcW w:w="7257" w:type="dxa"/>
            <w:vAlign w:val="center"/>
          </w:tcPr>
          <w:p w14:paraId="12FF20DE">
            <w:pPr>
              <w:adjustRightInd w:val="0"/>
              <w:snapToGrid w:val="0"/>
              <w:spacing w:line="240" w:lineRule="auto"/>
              <w:rPr>
                <w:rFonts w:hAnsi="宋体" w:cs="宋体"/>
                <w:color w:val="auto"/>
                <w:kern w:val="2"/>
                <w:sz w:val="21"/>
                <w:szCs w:val="21"/>
                <w:highlight w:val="none"/>
              </w:rPr>
            </w:pPr>
            <w:r>
              <w:rPr>
                <w:rFonts w:hint="eastAsia" w:hAnsi="宋体" w:cs="宋体"/>
                <w:bCs/>
                <w:color w:val="auto"/>
                <w:kern w:val="2"/>
                <w:sz w:val="21"/>
                <w:szCs w:val="21"/>
                <w:highlight w:val="none"/>
              </w:rPr>
              <w:t>形式：相关澄清要求应通过</w:t>
            </w:r>
            <w:r>
              <w:rPr>
                <w:rFonts w:hint="eastAsia" w:hAnsi="宋体" w:cs="宋体"/>
                <w:bCs/>
                <w:color w:val="auto"/>
                <w:kern w:val="2"/>
                <w:sz w:val="21"/>
                <w:szCs w:val="21"/>
                <w:highlight w:val="none"/>
                <w:u w:val="single"/>
                <w:lang w:val="en-US" w:eastAsia="zh-CN"/>
              </w:rPr>
              <w:t>书面形式</w:t>
            </w:r>
            <w:r>
              <w:rPr>
                <w:rFonts w:hint="eastAsia" w:hAnsi="宋体" w:cs="宋体"/>
                <w:bCs/>
                <w:color w:val="auto"/>
                <w:kern w:val="2"/>
                <w:sz w:val="21"/>
                <w:szCs w:val="21"/>
                <w:highlight w:val="none"/>
              </w:rPr>
              <w:t>提交。</w:t>
            </w:r>
          </w:p>
        </w:tc>
      </w:tr>
      <w:tr w14:paraId="71AFB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7CBBFD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2.2.2</w:t>
            </w:r>
          </w:p>
        </w:tc>
        <w:tc>
          <w:tcPr>
            <w:tcW w:w="1454" w:type="dxa"/>
            <w:vAlign w:val="center"/>
          </w:tcPr>
          <w:p w14:paraId="51311E76">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招标文件澄清发出的形式</w:t>
            </w:r>
          </w:p>
        </w:tc>
        <w:tc>
          <w:tcPr>
            <w:tcW w:w="7257" w:type="dxa"/>
            <w:vAlign w:val="center"/>
          </w:tcPr>
          <w:p w14:paraId="539DF556">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通过</w:t>
            </w:r>
            <w:r>
              <w:rPr>
                <w:rFonts w:hint="eastAsia" w:hAnsi="宋体" w:cs="宋体"/>
                <w:bCs/>
                <w:color w:val="auto"/>
                <w:kern w:val="2"/>
                <w:sz w:val="21"/>
                <w:szCs w:val="21"/>
                <w:highlight w:val="none"/>
                <w:u w:val="single"/>
                <w:lang w:val="en-US" w:eastAsia="zh-CN"/>
              </w:rPr>
              <w:t>招标公告挂网的网站公布</w:t>
            </w:r>
          </w:p>
        </w:tc>
      </w:tr>
      <w:tr w14:paraId="1F789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4A43BC5">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2.2.3</w:t>
            </w:r>
          </w:p>
        </w:tc>
        <w:tc>
          <w:tcPr>
            <w:tcW w:w="1454" w:type="dxa"/>
            <w:vAlign w:val="center"/>
          </w:tcPr>
          <w:p w14:paraId="627D746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投标人确认收到招标文件澄清</w:t>
            </w:r>
          </w:p>
        </w:tc>
        <w:tc>
          <w:tcPr>
            <w:tcW w:w="7257" w:type="dxa"/>
            <w:vAlign w:val="center"/>
          </w:tcPr>
          <w:p w14:paraId="7C6B3239">
            <w:pPr>
              <w:adjustRightInd w:val="0"/>
              <w:snapToGrid w:val="0"/>
              <w:spacing w:line="240" w:lineRule="auto"/>
              <w:rPr>
                <w:rFonts w:hAnsi="宋体" w:cs="宋体"/>
                <w:color w:val="auto"/>
                <w:kern w:val="2"/>
                <w:sz w:val="21"/>
                <w:szCs w:val="21"/>
                <w:highlight w:val="none"/>
                <w:u w:val="single"/>
              </w:rPr>
            </w:pPr>
            <w:r>
              <w:rPr>
                <w:rFonts w:hint="eastAsia" w:hAnsi="宋体" w:cs="宋体"/>
                <w:bCs/>
                <w:color w:val="auto"/>
                <w:kern w:val="2"/>
                <w:sz w:val="21"/>
                <w:szCs w:val="21"/>
                <w:highlight w:val="none"/>
              </w:rPr>
              <w:t>所有潜在投标人在投标截止时间前有义务在</w:t>
            </w:r>
            <w:r>
              <w:rPr>
                <w:rFonts w:hint="eastAsia" w:hAnsi="宋体" w:cs="宋体"/>
                <w:bCs/>
                <w:color w:val="auto"/>
                <w:kern w:val="2"/>
                <w:sz w:val="21"/>
                <w:szCs w:val="21"/>
                <w:highlight w:val="none"/>
                <w:u w:val="single"/>
                <w:lang w:val="en-US" w:eastAsia="zh-CN"/>
              </w:rPr>
              <w:t>招标公告挂网的网站</w:t>
            </w:r>
            <w:r>
              <w:rPr>
                <w:rFonts w:hint="eastAsia" w:hAnsi="宋体" w:cs="宋体"/>
                <w:bCs/>
                <w:color w:val="auto"/>
                <w:kern w:val="2"/>
                <w:sz w:val="21"/>
                <w:szCs w:val="21"/>
                <w:highlight w:val="none"/>
              </w:rPr>
              <w:t>自行查询，无需回复确认。</w:t>
            </w:r>
          </w:p>
        </w:tc>
      </w:tr>
      <w:tr w14:paraId="36DF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101D6AE">
            <w:pPr>
              <w:adjustRightInd w:val="0"/>
              <w:snapToGrid w:val="0"/>
              <w:spacing w:line="240" w:lineRule="auto"/>
              <w:ind w:left="120" w:leftChars="50" w:right="120" w:rightChars="50"/>
              <w:jc w:val="center"/>
              <w:rPr>
                <w:rFonts w:hAnsi="宋体" w:cs="宋体"/>
                <w:color w:val="auto"/>
                <w:kern w:val="2"/>
                <w:sz w:val="21"/>
                <w:szCs w:val="21"/>
                <w:highlight w:val="none"/>
              </w:rPr>
            </w:pPr>
            <w:r>
              <w:rPr>
                <w:rFonts w:hint="eastAsia" w:hAnsi="宋体" w:cs="宋体"/>
                <w:color w:val="auto"/>
                <w:kern w:val="2"/>
                <w:sz w:val="21"/>
                <w:szCs w:val="21"/>
                <w:highlight w:val="none"/>
              </w:rPr>
              <w:t>2.3.1</w:t>
            </w:r>
          </w:p>
        </w:tc>
        <w:tc>
          <w:tcPr>
            <w:tcW w:w="1454" w:type="dxa"/>
            <w:vAlign w:val="center"/>
          </w:tcPr>
          <w:p w14:paraId="3295FCCD">
            <w:pPr>
              <w:overflowPunct w:val="0"/>
              <w:autoSpaceDE w:val="0"/>
              <w:autoSpaceDN w:val="0"/>
              <w:adjustRightInd w:val="0"/>
              <w:snapToGrid w:val="0"/>
              <w:spacing w:line="240" w:lineRule="auto"/>
              <w:ind w:left="120" w:leftChars="50" w:right="120" w:rightChars="50"/>
              <w:jc w:val="center"/>
              <w:rPr>
                <w:rFonts w:hAnsi="宋体" w:cs="宋体"/>
                <w:color w:val="auto"/>
                <w:kern w:val="2"/>
                <w:sz w:val="21"/>
                <w:szCs w:val="21"/>
                <w:highlight w:val="none"/>
              </w:rPr>
            </w:pPr>
            <w:r>
              <w:rPr>
                <w:rFonts w:hint="eastAsia" w:hAnsi="宋体" w:cs="宋体"/>
                <w:color w:val="auto"/>
                <w:kern w:val="2"/>
                <w:sz w:val="21"/>
                <w:szCs w:val="21"/>
                <w:highlight w:val="none"/>
              </w:rPr>
              <w:t>招标文件修改发出的形式</w:t>
            </w:r>
          </w:p>
        </w:tc>
        <w:tc>
          <w:tcPr>
            <w:tcW w:w="7257" w:type="dxa"/>
            <w:vAlign w:val="center"/>
          </w:tcPr>
          <w:p w14:paraId="02F55B4D">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通过</w:t>
            </w:r>
            <w:r>
              <w:rPr>
                <w:rFonts w:hint="eastAsia" w:hAnsi="宋体" w:cs="宋体"/>
                <w:bCs/>
                <w:color w:val="auto"/>
                <w:kern w:val="2"/>
                <w:sz w:val="21"/>
                <w:szCs w:val="21"/>
                <w:highlight w:val="none"/>
                <w:u w:val="single"/>
                <w:lang w:val="en-US" w:eastAsia="zh-CN"/>
              </w:rPr>
              <w:t>招标公告挂网的网站公布</w:t>
            </w:r>
          </w:p>
        </w:tc>
      </w:tr>
      <w:tr w14:paraId="0C5CC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591710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2.3.2</w:t>
            </w:r>
          </w:p>
        </w:tc>
        <w:tc>
          <w:tcPr>
            <w:tcW w:w="1454" w:type="dxa"/>
            <w:vAlign w:val="center"/>
          </w:tcPr>
          <w:p w14:paraId="4419555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投标人确认收到招标文件修改</w:t>
            </w:r>
          </w:p>
        </w:tc>
        <w:tc>
          <w:tcPr>
            <w:tcW w:w="7257" w:type="dxa"/>
            <w:vAlign w:val="center"/>
          </w:tcPr>
          <w:p w14:paraId="573B5BB4">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所有潜在投标人在投标截止时间前有义务在</w:t>
            </w:r>
            <w:r>
              <w:rPr>
                <w:rFonts w:hint="eastAsia" w:hAnsi="宋体" w:cs="宋体"/>
                <w:bCs/>
                <w:color w:val="auto"/>
                <w:kern w:val="2"/>
                <w:sz w:val="21"/>
                <w:szCs w:val="21"/>
                <w:highlight w:val="none"/>
                <w:u w:val="single"/>
                <w:lang w:val="en-US" w:eastAsia="zh-CN"/>
              </w:rPr>
              <w:t>招标公告挂网的网站</w:t>
            </w:r>
            <w:r>
              <w:rPr>
                <w:rFonts w:hint="eastAsia" w:hAnsi="宋体" w:cs="宋体"/>
                <w:bCs/>
                <w:color w:val="auto"/>
                <w:kern w:val="2"/>
                <w:sz w:val="21"/>
                <w:szCs w:val="21"/>
                <w:highlight w:val="none"/>
              </w:rPr>
              <w:t>自行查询，无需回复确认。</w:t>
            </w:r>
          </w:p>
        </w:tc>
      </w:tr>
      <w:tr w14:paraId="10ACE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13447D8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2.4.1</w:t>
            </w:r>
          </w:p>
        </w:tc>
        <w:tc>
          <w:tcPr>
            <w:tcW w:w="1454" w:type="dxa"/>
            <w:vAlign w:val="center"/>
          </w:tcPr>
          <w:p w14:paraId="61FC3F7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对招标文件提出异议的最迟时间</w:t>
            </w:r>
          </w:p>
        </w:tc>
        <w:tc>
          <w:tcPr>
            <w:tcW w:w="7257" w:type="dxa"/>
            <w:vAlign w:val="center"/>
          </w:tcPr>
          <w:p w14:paraId="43CD9EAC">
            <w:pPr>
              <w:adjustRightInd w:val="0"/>
              <w:snapToGrid w:val="0"/>
              <w:spacing w:line="240" w:lineRule="auto"/>
              <w:rPr>
                <w:rFonts w:hAnsi="宋体" w:cs="宋体"/>
                <w:bCs/>
                <w:color w:val="auto"/>
                <w:kern w:val="2"/>
                <w:sz w:val="21"/>
                <w:szCs w:val="21"/>
                <w:highlight w:val="none"/>
              </w:rPr>
            </w:pPr>
            <w:r>
              <w:rPr>
                <w:rFonts w:hint="eastAsia" w:hAnsi="宋体" w:cs="宋体"/>
                <w:color w:val="auto"/>
                <w:kern w:val="2"/>
                <w:sz w:val="21"/>
                <w:szCs w:val="21"/>
                <w:highlight w:val="none"/>
              </w:rPr>
              <w:t>投标截止</w:t>
            </w:r>
            <w:r>
              <w:rPr>
                <w:rFonts w:hint="eastAsia" w:hAnsi="宋体" w:cs="宋体"/>
                <w:color w:val="auto"/>
                <w:kern w:val="2"/>
                <w:sz w:val="21"/>
                <w:szCs w:val="21"/>
                <w:highlight w:val="none"/>
                <w:lang w:val="en-US" w:eastAsia="zh-CN"/>
              </w:rPr>
              <w:t>3</w:t>
            </w:r>
            <w:r>
              <w:rPr>
                <w:rFonts w:hint="eastAsia" w:hAnsi="宋体" w:cs="宋体"/>
                <w:color w:val="auto"/>
                <w:kern w:val="2"/>
                <w:sz w:val="21"/>
                <w:szCs w:val="21"/>
                <w:highlight w:val="none"/>
              </w:rPr>
              <w:t>日前。</w:t>
            </w:r>
          </w:p>
        </w:tc>
      </w:tr>
      <w:tr w14:paraId="27489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956" w:type="dxa"/>
            <w:vAlign w:val="center"/>
          </w:tcPr>
          <w:p w14:paraId="61361B88">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2.4.2</w:t>
            </w:r>
          </w:p>
        </w:tc>
        <w:tc>
          <w:tcPr>
            <w:tcW w:w="1454" w:type="dxa"/>
            <w:vAlign w:val="center"/>
          </w:tcPr>
          <w:p w14:paraId="5AED0AE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对招标文件提出异议的方法</w:t>
            </w:r>
          </w:p>
        </w:tc>
        <w:tc>
          <w:tcPr>
            <w:tcW w:w="7257" w:type="dxa"/>
            <w:vAlign w:val="center"/>
          </w:tcPr>
          <w:p w14:paraId="28C6F512">
            <w:pPr>
              <w:adjustRightInd w:val="0"/>
              <w:snapToGrid w:val="0"/>
              <w:spacing w:line="240" w:lineRule="auto"/>
              <w:rPr>
                <w:rFonts w:hint="default" w:hAnsi="宋体" w:eastAsia="宋体" w:cs="宋体"/>
                <w:bCs/>
                <w:color w:val="auto"/>
                <w:kern w:val="2"/>
                <w:sz w:val="21"/>
                <w:szCs w:val="21"/>
                <w:highlight w:val="none"/>
                <w:lang w:val="en-US" w:eastAsia="zh-CN"/>
              </w:rPr>
            </w:pPr>
            <w:r>
              <w:rPr>
                <w:rFonts w:hint="eastAsia" w:hAnsi="宋体" w:cs="宋体"/>
                <w:bCs/>
                <w:color w:val="auto"/>
                <w:kern w:val="2"/>
                <w:sz w:val="21"/>
                <w:szCs w:val="21"/>
                <w:highlight w:val="none"/>
                <w:lang w:val="en-US" w:eastAsia="zh-CN"/>
              </w:rPr>
              <w:t>书面形式</w:t>
            </w:r>
            <w:r>
              <w:rPr>
                <w:rFonts w:hint="eastAsia" w:hAnsi="宋体" w:cs="宋体"/>
                <w:bCs/>
                <w:color w:val="auto"/>
                <w:kern w:val="2"/>
                <w:sz w:val="21"/>
                <w:szCs w:val="21"/>
                <w:highlight w:val="none"/>
              </w:rPr>
              <w:t>。</w:t>
            </w:r>
          </w:p>
        </w:tc>
      </w:tr>
      <w:tr w14:paraId="4B46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2ADCB48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2.4.3</w:t>
            </w:r>
          </w:p>
        </w:tc>
        <w:tc>
          <w:tcPr>
            <w:tcW w:w="1454" w:type="dxa"/>
            <w:vAlign w:val="center"/>
          </w:tcPr>
          <w:p w14:paraId="01E23EAB">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招标文件的澄清和异议回复</w:t>
            </w:r>
          </w:p>
        </w:tc>
        <w:tc>
          <w:tcPr>
            <w:tcW w:w="7257" w:type="dxa"/>
            <w:vAlign w:val="center"/>
          </w:tcPr>
          <w:p w14:paraId="709678B0">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对招标文件的修改将在</w:t>
            </w:r>
            <w:r>
              <w:rPr>
                <w:rFonts w:hint="eastAsia" w:hAnsi="宋体" w:cs="宋体"/>
                <w:bCs/>
                <w:color w:val="auto"/>
                <w:kern w:val="2"/>
                <w:sz w:val="21"/>
                <w:szCs w:val="21"/>
                <w:highlight w:val="none"/>
                <w:u w:val="single"/>
                <w:lang w:val="en-US" w:eastAsia="zh-CN"/>
              </w:rPr>
              <w:t>招标公告挂网的网站</w:t>
            </w:r>
            <w:r>
              <w:rPr>
                <w:rFonts w:hint="eastAsia" w:hAnsi="宋体" w:cs="宋体"/>
                <w:bCs/>
                <w:color w:val="auto"/>
                <w:kern w:val="2"/>
                <w:sz w:val="21"/>
                <w:szCs w:val="21"/>
                <w:highlight w:val="none"/>
              </w:rPr>
              <w:t>发布；对异议的回复将通过</w:t>
            </w:r>
            <w:r>
              <w:rPr>
                <w:rFonts w:hint="eastAsia" w:hAnsi="宋体" w:cs="宋体"/>
                <w:bCs/>
                <w:color w:val="auto"/>
                <w:kern w:val="2"/>
                <w:sz w:val="21"/>
                <w:szCs w:val="21"/>
                <w:highlight w:val="none"/>
                <w:lang w:val="en-US" w:eastAsia="zh-CN"/>
              </w:rPr>
              <w:t>书面形式回复</w:t>
            </w:r>
            <w:r>
              <w:rPr>
                <w:rFonts w:hint="eastAsia" w:hAnsi="宋体" w:cs="宋体"/>
                <w:bCs/>
                <w:color w:val="auto"/>
                <w:kern w:val="2"/>
                <w:sz w:val="21"/>
                <w:szCs w:val="21"/>
                <w:highlight w:val="none"/>
              </w:rPr>
              <w:t>。</w:t>
            </w:r>
          </w:p>
        </w:tc>
      </w:tr>
      <w:tr w14:paraId="2BDD4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EBE2908">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3.2.1</w:t>
            </w:r>
          </w:p>
        </w:tc>
        <w:tc>
          <w:tcPr>
            <w:tcW w:w="1454" w:type="dxa"/>
            <w:vAlign w:val="center"/>
          </w:tcPr>
          <w:p w14:paraId="04F28F84">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增值税税金</w:t>
            </w:r>
          </w:p>
          <w:p w14:paraId="4A11055B">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相关要求</w:t>
            </w:r>
          </w:p>
        </w:tc>
        <w:tc>
          <w:tcPr>
            <w:tcW w:w="7257" w:type="dxa"/>
            <w:vAlign w:val="center"/>
          </w:tcPr>
          <w:p w14:paraId="633B6AF0">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（1）计税方法：</w:t>
            </w:r>
          </w:p>
          <w:p w14:paraId="4DDEFB3D">
            <w:pPr>
              <w:adjustRightInd w:val="0"/>
              <w:snapToGrid w:val="0"/>
              <w:spacing w:line="240" w:lineRule="auto"/>
              <w:ind w:firstLine="420" w:firstLineChars="200"/>
              <w:rPr>
                <w:rFonts w:hAnsi="宋体" w:cs="宋体"/>
                <w:bCs/>
                <w:color w:val="auto"/>
                <w:kern w:val="2"/>
                <w:sz w:val="21"/>
                <w:szCs w:val="21"/>
                <w:highlight w:val="none"/>
              </w:rPr>
            </w:pPr>
            <w:r>
              <w:rPr>
                <w:rFonts w:hint="eastAsia" w:hAnsi="宋体" w:cs="宋体"/>
                <w:color w:val="auto"/>
                <w:kern w:val="2"/>
                <w:sz w:val="21"/>
                <w:szCs w:val="21"/>
                <w:highlight w:val="none"/>
              </w:rPr>
              <w:t>☑</w:t>
            </w:r>
            <w:r>
              <w:rPr>
                <w:rFonts w:hint="eastAsia" w:hAnsi="宋体" w:cs="宋体"/>
                <w:bCs/>
                <w:color w:val="auto"/>
                <w:kern w:val="2"/>
                <w:sz w:val="21"/>
                <w:szCs w:val="21"/>
                <w:highlight w:val="none"/>
              </w:rPr>
              <w:t>一般计税方法</w:t>
            </w:r>
          </w:p>
          <w:p w14:paraId="0FFE7BB6">
            <w:pPr>
              <w:adjustRightInd w:val="0"/>
              <w:snapToGrid w:val="0"/>
              <w:spacing w:line="240" w:lineRule="auto"/>
              <w:ind w:firstLine="420" w:firstLineChars="200"/>
              <w:rPr>
                <w:rFonts w:hAnsi="宋体" w:cs="宋体"/>
                <w:bCs/>
                <w:color w:val="auto"/>
                <w:kern w:val="2"/>
                <w:sz w:val="21"/>
                <w:szCs w:val="21"/>
                <w:highlight w:val="none"/>
              </w:rPr>
            </w:pPr>
            <w:r>
              <w:rPr>
                <w:rFonts w:hint="eastAsia" w:hAnsi="宋体" w:cs="宋体"/>
                <w:bCs/>
                <w:color w:val="auto"/>
                <w:kern w:val="2"/>
                <w:sz w:val="21"/>
                <w:szCs w:val="21"/>
                <w:highlight w:val="none"/>
              </w:rPr>
              <w:t xml:space="preserve">□简易计算方法 </w:t>
            </w:r>
          </w:p>
          <w:p w14:paraId="2BEF07E7">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（2）发票类型：</w:t>
            </w:r>
          </w:p>
          <w:p w14:paraId="24D7D926">
            <w:pPr>
              <w:adjustRightInd w:val="0"/>
              <w:snapToGrid w:val="0"/>
              <w:spacing w:line="240" w:lineRule="auto"/>
              <w:ind w:firstLine="420" w:firstLineChars="200"/>
              <w:rPr>
                <w:rFonts w:hAnsi="宋体" w:cs="宋体"/>
                <w:bCs/>
                <w:color w:val="auto"/>
                <w:kern w:val="2"/>
                <w:sz w:val="21"/>
                <w:szCs w:val="21"/>
                <w:highlight w:val="none"/>
              </w:rPr>
            </w:pPr>
            <w:r>
              <w:rPr>
                <w:rFonts w:hint="eastAsia" w:hAnsi="宋体" w:cs="宋体"/>
                <w:color w:val="auto"/>
                <w:kern w:val="2"/>
                <w:sz w:val="21"/>
                <w:szCs w:val="21"/>
                <w:highlight w:val="none"/>
              </w:rPr>
              <w:t>☑</w:t>
            </w:r>
            <w:r>
              <w:rPr>
                <w:rFonts w:hint="eastAsia" w:hAnsi="宋体" w:cs="宋体"/>
                <w:bCs/>
                <w:color w:val="auto"/>
                <w:kern w:val="2"/>
                <w:sz w:val="21"/>
                <w:szCs w:val="21"/>
                <w:highlight w:val="none"/>
              </w:rPr>
              <w:t>增值税专用发票</w:t>
            </w:r>
          </w:p>
          <w:p w14:paraId="272D6AE8">
            <w:pPr>
              <w:adjustRightInd w:val="0"/>
              <w:snapToGrid w:val="0"/>
              <w:spacing w:line="240" w:lineRule="auto"/>
              <w:ind w:firstLine="420" w:firstLineChars="200"/>
              <w:rPr>
                <w:rFonts w:hAnsi="宋体" w:cs="宋体"/>
                <w:bCs/>
                <w:color w:val="auto"/>
                <w:kern w:val="2"/>
                <w:sz w:val="21"/>
                <w:szCs w:val="21"/>
                <w:highlight w:val="none"/>
              </w:rPr>
            </w:pPr>
            <w:r>
              <w:rPr>
                <w:rFonts w:hint="eastAsia" w:hAnsi="宋体" w:cs="宋体"/>
                <w:bCs/>
                <w:color w:val="auto"/>
                <w:kern w:val="2"/>
                <w:sz w:val="21"/>
                <w:szCs w:val="21"/>
                <w:highlight w:val="none"/>
              </w:rPr>
              <w:t>□增值税普通发票</w:t>
            </w:r>
          </w:p>
          <w:p w14:paraId="46950012">
            <w:pPr>
              <w:numPr>
                <w:ilvl w:val="0"/>
                <w:numId w:val="2"/>
              </w:num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增值税税率按照国家有关规定执行。</w:t>
            </w:r>
          </w:p>
        </w:tc>
      </w:tr>
      <w:tr w14:paraId="0C26C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60A4A04">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3.2.4</w:t>
            </w:r>
          </w:p>
        </w:tc>
        <w:tc>
          <w:tcPr>
            <w:tcW w:w="1454" w:type="dxa"/>
            <w:vAlign w:val="center"/>
          </w:tcPr>
          <w:p w14:paraId="0DE5B8DF">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最高投标限价</w:t>
            </w:r>
          </w:p>
        </w:tc>
        <w:tc>
          <w:tcPr>
            <w:tcW w:w="7257" w:type="dxa"/>
            <w:vAlign w:val="center"/>
          </w:tcPr>
          <w:p w14:paraId="2FD7E160">
            <w:pPr>
              <w:snapToGrid w:val="0"/>
              <w:spacing w:line="360" w:lineRule="exact"/>
              <w:rPr>
                <w:rFonts w:hint="default"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rPr>
              <w:t>详见招标公告</w:t>
            </w:r>
          </w:p>
        </w:tc>
      </w:tr>
      <w:tr w14:paraId="33759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5DE9CDF">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3.2.5</w:t>
            </w:r>
          </w:p>
        </w:tc>
        <w:tc>
          <w:tcPr>
            <w:tcW w:w="1454" w:type="dxa"/>
            <w:vAlign w:val="center"/>
          </w:tcPr>
          <w:p w14:paraId="2612C348">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投标报价的</w:t>
            </w:r>
          </w:p>
          <w:p w14:paraId="71B3162E">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其他要求</w:t>
            </w:r>
          </w:p>
        </w:tc>
        <w:tc>
          <w:tcPr>
            <w:tcW w:w="7257" w:type="dxa"/>
            <w:vAlign w:val="center"/>
          </w:tcPr>
          <w:p w14:paraId="6FEC5269">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见招标文件。</w:t>
            </w:r>
          </w:p>
        </w:tc>
      </w:tr>
      <w:tr w14:paraId="43A30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14C6AF28">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3.3.1</w:t>
            </w:r>
          </w:p>
        </w:tc>
        <w:tc>
          <w:tcPr>
            <w:tcW w:w="1454" w:type="dxa"/>
            <w:vAlign w:val="center"/>
          </w:tcPr>
          <w:p w14:paraId="07B7EBE4">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投标有效期</w:t>
            </w:r>
          </w:p>
        </w:tc>
        <w:tc>
          <w:tcPr>
            <w:tcW w:w="7257" w:type="dxa"/>
            <w:vAlign w:val="center"/>
          </w:tcPr>
          <w:p w14:paraId="44AEF412">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自投标人递交投标文件截止之日起计算</w:t>
            </w:r>
            <w:r>
              <w:rPr>
                <w:rFonts w:hint="eastAsia" w:hAnsi="宋体" w:cs="宋体"/>
                <w:color w:val="auto"/>
                <w:kern w:val="2"/>
                <w:sz w:val="21"/>
                <w:szCs w:val="21"/>
                <w:highlight w:val="none"/>
                <w:u w:val="single"/>
              </w:rPr>
              <w:t>90</w:t>
            </w:r>
            <w:r>
              <w:rPr>
                <w:rFonts w:hint="eastAsia" w:hAnsi="宋体" w:cs="宋体"/>
                <w:color w:val="auto"/>
                <w:kern w:val="2"/>
                <w:sz w:val="21"/>
                <w:szCs w:val="21"/>
                <w:highlight w:val="none"/>
              </w:rPr>
              <w:t>日</w:t>
            </w:r>
          </w:p>
        </w:tc>
      </w:tr>
      <w:tr w14:paraId="637DD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1E7BFC15">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3.4.1</w:t>
            </w:r>
          </w:p>
        </w:tc>
        <w:tc>
          <w:tcPr>
            <w:tcW w:w="1454" w:type="dxa"/>
            <w:vAlign w:val="top"/>
          </w:tcPr>
          <w:p w14:paraId="4134DF20">
            <w:pPr>
              <w:pStyle w:val="327"/>
              <w:tabs>
                <w:tab w:val="left" w:pos="2006"/>
              </w:tabs>
              <w:spacing w:before="152" w:line="240" w:lineRule="auto"/>
              <w:ind w:left="106" w:leftChars="0" w:right="0" w:rightChars="0"/>
              <w:jc w:val="center"/>
              <w:rPr>
                <w:rFonts w:hAnsi="宋体" w:cs="宋体"/>
                <w:color w:val="auto"/>
                <w:kern w:val="2"/>
                <w:sz w:val="21"/>
                <w:szCs w:val="21"/>
                <w:highlight w:val="none"/>
              </w:rPr>
            </w:pPr>
            <w:r>
              <w:rPr>
                <w:rFonts w:hint="eastAsia" w:ascii="宋体" w:hAnsi="宋体" w:eastAsia="宋体" w:cs="宋体"/>
                <w:b w:val="0"/>
                <w:bCs/>
                <w:color w:val="auto"/>
                <w:sz w:val="21"/>
                <w:szCs w:val="21"/>
                <w:highlight w:val="none"/>
                <w:u w:val="none"/>
              </w:rPr>
              <w:t>投标保证金</w:t>
            </w:r>
          </w:p>
        </w:tc>
        <w:tc>
          <w:tcPr>
            <w:tcW w:w="7257" w:type="dxa"/>
            <w:vAlign w:val="top"/>
          </w:tcPr>
          <w:p w14:paraId="71C3621C">
            <w:pPr>
              <w:pStyle w:val="327"/>
              <w:keepNext w:val="0"/>
              <w:keepLines w:val="0"/>
              <w:pageBreakBefore w:val="0"/>
              <w:widowControl w:val="0"/>
              <w:kinsoku/>
              <w:wordWrap/>
              <w:overflowPunct/>
              <w:topLinePunct w:val="0"/>
              <w:autoSpaceDE w:val="0"/>
              <w:autoSpaceDN w:val="0"/>
              <w:bidi w:val="0"/>
              <w:spacing w:before="0" w:line="240" w:lineRule="auto"/>
              <w:ind w:left="0" w:right="0" w:firstLine="0" w:firstLineChars="0"/>
              <w:rPr>
                <w:rFonts w:hAnsi="宋体" w:cs="宋体"/>
                <w:bCs/>
                <w:color w:val="auto"/>
                <w:kern w:val="2"/>
                <w:sz w:val="21"/>
                <w:szCs w:val="21"/>
                <w:highlight w:val="none"/>
              </w:rPr>
            </w:pPr>
            <w:r>
              <w:rPr>
                <w:rFonts w:hint="eastAsia" w:ascii="宋体" w:hAnsi="宋体" w:eastAsia="宋体" w:cs="宋体"/>
                <w:bCs/>
                <w:color w:val="auto"/>
                <w:sz w:val="21"/>
                <w:szCs w:val="21"/>
                <w:highlight w:val="none"/>
                <w:u w:val="none"/>
                <w:lang w:val="en-US" w:eastAsia="zh-CN"/>
              </w:rPr>
              <w:t>本项目是否要求投标人提交投标保证金：</w:t>
            </w:r>
            <w:r>
              <w:rPr>
                <w:rFonts w:hint="eastAsia" w:cs="宋体"/>
                <w:bCs/>
                <w:color w:val="auto"/>
                <w:sz w:val="21"/>
                <w:szCs w:val="21"/>
                <w:highlight w:val="none"/>
                <w:u w:val="none"/>
                <w:lang w:val="en-US" w:eastAsia="zh-CN"/>
              </w:rPr>
              <w:t>☑</w:t>
            </w:r>
            <w:r>
              <w:rPr>
                <w:rFonts w:hint="eastAsia" w:ascii="宋体" w:hAnsi="宋体" w:eastAsia="宋体" w:cs="宋体"/>
                <w:bCs/>
                <w:color w:val="auto"/>
                <w:sz w:val="21"/>
                <w:szCs w:val="21"/>
                <w:highlight w:val="none"/>
                <w:u w:val="none"/>
                <w:lang w:val="en-US" w:eastAsia="zh-CN"/>
              </w:rPr>
              <w:t>不要求</w:t>
            </w:r>
          </w:p>
        </w:tc>
      </w:tr>
      <w:tr w14:paraId="2F9A8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A61161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3.4.4</w:t>
            </w:r>
          </w:p>
        </w:tc>
        <w:tc>
          <w:tcPr>
            <w:tcW w:w="1454" w:type="dxa"/>
            <w:vAlign w:val="center"/>
          </w:tcPr>
          <w:p w14:paraId="301334C9">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其他不予退还投标保证金的情形</w:t>
            </w:r>
          </w:p>
        </w:tc>
        <w:tc>
          <w:tcPr>
            <w:tcW w:w="7257" w:type="dxa"/>
            <w:vAlign w:val="center"/>
          </w:tcPr>
          <w:p w14:paraId="7E8528EE">
            <w:pPr>
              <w:adjustRightInd w:val="0"/>
              <w:snapToGrid w:val="0"/>
              <w:spacing w:line="240" w:lineRule="auto"/>
              <w:rPr>
                <w:rFonts w:hAnsi="宋体" w:cs="宋体"/>
                <w:b/>
                <w:color w:val="auto"/>
                <w:kern w:val="2"/>
                <w:sz w:val="21"/>
                <w:szCs w:val="21"/>
                <w:highlight w:val="none"/>
                <w:u w:val="single"/>
              </w:rPr>
            </w:pPr>
            <w:r>
              <w:rPr>
                <w:rFonts w:hint="eastAsia" w:hAnsi="宋体" w:cs="宋体"/>
                <w:b/>
                <w:color w:val="auto"/>
                <w:kern w:val="2"/>
                <w:sz w:val="21"/>
                <w:szCs w:val="21"/>
                <w:highlight w:val="none"/>
              </w:rPr>
              <w:t>其他法律法规规定的不予退还投标保证金的情形。</w:t>
            </w:r>
          </w:p>
        </w:tc>
      </w:tr>
      <w:tr w14:paraId="69743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46404E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3.6.1</w:t>
            </w:r>
          </w:p>
        </w:tc>
        <w:tc>
          <w:tcPr>
            <w:tcW w:w="1454" w:type="dxa"/>
            <w:vAlign w:val="center"/>
          </w:tcPr>
          <w:p w14:paraId="3E40ED7B">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是否允许递交备选投标方案</w:t>
            </w:r>
          </w:p>
        </w:tc>
        <w:tc>
          <w:tcPr>
            <w:tcW w:w="7257" w:type="dxa"/>
            <w:vAlign w:val="center"/>
          </w:tcPr>
          <w:p w14:paraId="2BCC4754">
            <w:pPr>
              <w:adjustRightInd w:val="0"/>
              <w:snapToGrid w:val="0"/>
              <w:spacing w:line="240" w:lineRule="auto"/>
              <w:rPr>
                <w:rFonts w:hAnsi="宋体" w:cs="宋体"/>
                <w:color w:val="auto"/>
                <w:kern w:val="2"/>
                <w:sz w:val="21"/>
                <w:szCs w:val="21"/>
                <w:highlight w:val="none"/>
              </w:rPr>
            </w:pPr>
            <w:r>
              <w:rPr>
                <w:rFonts w:hint="eastAsia" w:ascii="MS Gothic" w:hAnsi="MS Gothic" w:eastAsia="MS Gothic" w:cs="MS Gothic"/>
                <w:color w:val="auto"/>
                <w:kern w:val="2"/>
                <w:sz w:val="21"/>
                <w:szCs w:val="21"/>
                <w:highlight w:val="none"/>
              </w:rPr>
              <w:t>☑</w:t>
            </w:r>
            <w:r>
              <w:rPr>
                <w:rFonts w:hint="eastAsia" w:hAnsi="宋体" w:cs="宋体"/>
                <w:color w:val="auto"/>
                <w:kern w:val="2"/>
                <w:sz w:val="21"/>
                <w:szCs w:val="21"/>
                <w:highlight w:val="none"/>
              </w:rPr>
              <w:t>不允许；</w:t>
            </w:r>
          </w:p>
        </w:tc>
      </w:tr>
      <w:tr w14:paraId="2B127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556416EF">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4.2.3</w:t>
            </w:r>
          </w:p>
        </w:tc>
        <w:tc>
          <w:tcPr>
            <w:tcW w:w="1454" w:type="dxa"/>
            <w:vAlign w:val="center"/>
          </w:tcPr>
          <w:p w14:paraId="12CE90AA">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是否退还</w:t>
            </w:r>
          </w:p>
          <w:p w14:paraId="31CC0B6F">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投标文件</w:t>
            </w:r>
          </w:p>
        </w:tc>
        <w:tc>
          <w:tcPr>
            <w:tcW w:w="7257" w:type="dxa"/>
            <w:vAlign w:val="center"/>
          </w:tcPr>
          <w:p w14:paraId="5FF8DDBD">
            <w:pPr>
              <w:adjustRightInd w:val="0"/>
              <w:snapToGrid w:val="0"/>
              <w:spacing w:line="240" w:lineRule="auto"/>
              <w:rPr>
                <w:rFonts w:hAnsi="宋体" w:cs="宋体"/>
                <w:color w:val="auto"/>
                <w:kern w:val="2"/>
                <w:sz w:val="21"/>
                <w:szCs w:val="21"/>
                <w:highlight w:val="none"/>
                <w:u w:val="single"/>
              </w:rPr>
            </w:pPr>
            <w:r>
              <w:rPr>
                <w:rFonts w:hint="eastAsia" w:ascii="MS Gothic" w:hAnsi="MS Gothic" w:eastAsia="MS Gothic" w:cs="MS Gothic"/>
                <w:color w:val="auto"/>
                <w:kern w:val="2"/>
                <w:sz w:val="21"/>
                <w:szCs w:val="21"/>
                <w:highlight w:val="none"/>
              </w:rPr>
              <w:t>☑</w:t>
            </w:r>
            <w:r>
              <w:rPr>
                <w:rFonts w:hint="eastAsia" w:hAnsi="宋体" w:cs="宋体"/>
                <w:color w:val="auto"/>
                <w:kern w:val="2"/>
                <w:sz w:val="21"/>
                <w:szCs w:val="21"/>
                <w:highlight w:val="none"/>
              </w:rPr>
              <w:t>否</w:t>
            </w:r>
          </w:p>
        </w:tc>
      </w:tr>
      <w:tr w14:paraId="2B430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FA6161C">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5.1</w:t>
            </w:r>
          </w:p>
        </w:tc>
        <w:tc>
          <w:tcPr>
            <w:tcW w:w="1454" w:type="dxa"/>
            <w:vAlign w:val="center"/>
          </w:tcPr>
          <w:p w14:paraId="6EE3231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开标时间和地点</w:t>
            </w:r>
          </w:p>
        </w:tc>
        <w:tc>
          <w:tcPr>
            <w:tcW w:w="7257" w:type="dxa"/>
            <w:vAlign w:val="center"/>
          </w:tcPr>
          <w:p w14:paraId="332BA798">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开标时间：同投标截止时间</w:t>
            </w:r>
          </w:p>
          <w:p w14:paraId="1AF3E8C3">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开标地点：见招标公告</w:t>
            </w:r>
          </w:p>
        </w:tc>
      </w:tr>
      <w:tr w14:paraId="7A47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16DF5560">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5.2</w:t>
            </w:r>
          </w:p>
        </w:tc>
        <w:tc>
          <w:tcPr>
            <w:tcW w:w="1454" w:type="dxa"/>
            <w:vAlign w:val="center"/>
          </w:tcPr>
          <w:p w14:paraId="2D7069B9">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开标程序</w:t>
            </w:r>
          </w:p>
        </w:tc>
        <w:tc>
          <w:tcPr>
            <w:tcW w:w="7257" w:type="dxa"/>
            <w:vAlign w:val="center"/>
          </w:tcPr>
          <w:p w14:paraId="5361487B">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（1）公布投标人名称、投标报价等招标文件要求公布的内容</w:t>
            </w:r>
            <w:r>
              <w:rPr>
                <w:rFonts w:hint="eastAsia" w:hAnsi="宋体" w:cs="宋体"/>
                <w:color w:val="auto"/>
                <w:kern w:val="2"/>
                <w:sz w:val="21"/>
                <w:szCs w:val="21"/>
                <w:highlight w:val="none"/>
                <w:lang w:eastAsia="zh-CN"/>
              </w:rPr>
              <w:t>。</w:t>
            </w:r>
          </w:p>
        </w:tc>
      </w:tr>
      <w:tr w14:paraId="3662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02C68DD">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6.1.1</w:t>
            </w:r>
          </w:p>
        </w:tc>
        <w:tc>
          <w:tcPr>
            <w:tcW w:w="1454" w:type="dxa"/>
            <w:vAlign w:val="center"/>
          </w:tcPr>
          <w:p w14:paraId="4D63D478">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评标委员会</w:t>
            </w:r>
          </w:p>
          <w:p w14:paraId="379FEF8A">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的组建</w:t>
            </w:r>
          </w:p>
        </w:tc>
        <w:tc>
          <w:tcPr>
            <w:tcW w:w="7257" w:type="dxa"/>
            <w:vAlign w:val="center"/>
          </w:tcPr>
          <w:p w14:paraId="66838D56">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评标委员会构成：</w:t>
            </w:r>
            <w:r>
              <w:rPr>
                <w:rFonts w:hint="eastAsia" w:hAnsi="宋体" w:cs="宋体"/>
                <w:color w:val="auto"/>
                <w:kern w:val="2"/>
                <w:sz w:val="21"/>
                <w:szCs w:val="21"/>
                <w:highlight w:val="none"/>
                <w:u w:val="single"/>
              </w:rPr>
              <w:t>总数为</w:t>
            </w:r>
            <w:r>
              <w:rPr>
                <w:rFonts w:hint="eastAsia" w:hAnsi="宋体" w:cs="宋体"/>
                <w:color w:val="auto"/>
                <w:kern w:val="2"/>
                <w:sz w:val="21"/>
                <w:szCs w:val="21"/>
                <w:highlight w:val="none"/>
                <w:u w:val="single"/>
                <w:lang w:val="en-US" w:eastAsia="zh-CN"/>
              </w:rPr>
              <w:t>3</w:t>
            </w:r>
            <w:r>
              <w:rPr>
                <w:rFonts w:hint="eastAsia" w:hAnsi="宋体" w:cs="宋体"/>
                <w:color w:val="auto"/>
                <w:kern w:val="2"/>
                <w:sz w:val="21"/>
                <w:szCs w:val="21"/>
                <w:highlight w:val="none"/>
                <w:u w:val="single"/>
              </w:rPr>
              <w:t xml:space="preserve">人及以上单数  </w:t>
            </w:r>
          </w:p>
          <w:p w14:paraId="17F8FA0A">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评标专家确定方式：</w:t>
            </w:r>
            <w:r>
              <w:rPr>
                <w:rFonts w:hint="eastAsia" w:hAnsi="宋体" w:cs="宋体"/>
                <w:color w:val="auto"/>
                <w:kern w:val="2"/>
                <w:sz w:val="21"/>
                <w:szCs w:val="21"/>
                <w:highlight w:val="none"/>
                <w:u w:val="single"/>
              </w:rPr>
              <w:t>专家库中随机抽取</w:t>
            </w:r>
          </w:p>
        </w:tc>
      </w:tr>
      <w:tr w14:paraId="22153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17D9571">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6.3.2</w:t>
            </w:r>
          </w:p>
        </w:tc>
        <w:tc>
          <w:tcPr>
            <w:tcW w:w="1454" w:type="dxa"/>
            <w:vAlign w:val="center"/>
          </w:tcPr>
          <w:p w14:paraId="2D9F7DD9">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评标委员会推荐中标候选人的人数</w:t>
            </w:r>
          </w:p>
        </w:tc>
        <w:tc>
          <w:tcPr>
            <w:tcW w:w="7257" w:type="dxa"/>
            <w:vAlign w:val="center"/>
          </w:tcPr>
          <w:p w14:paraId="1CEDC937">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推荐1名中标候选人</w:t>
            </w:r>
          </w:p>
        </w:tc>
      </w:tr>
      <w:tr w14:paraId="79A69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D82EC5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7.1</w:t>
            </w:r>
          </w:p>
        </w:tc>
        <w:tc>
          <w:tcPr>
            <w:tcW w:w="1454" w:type="dxa"/>
            <w:vAlign w:val="center"/>
          </w:tcPr>
          <w:p w14:paraId="72167F64">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中标候选人公示</w:t>
            </w:r>
          </w:p>
        </w:tc>
        <w:tc>
          <w:tcPr>
            <w:tcW w:w="7257" w:type="dxa"/>
            <w:vAlign w:val="center"/>
          </w:tcPr>
          <w:p w14:paraId="747386CD">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公示媒介：同招标公告发布媒介</w:t>
            </w:r>
          </w:p>
          <w:p w14:paraId="4A537FF0">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公示期限：招标人原则上在收到评标报告之日的当天最长不超过3日内公示中标（定标）候选人。公示期不少于3日。</w:t>
            </w:r>
          </w:p>
          <w:p w14:paraId="43619513">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公示内容：中标（定标）候选人除公示国家和省规定的内容外，评标报告中载明的经评审认定的中标（定标）候选人业绩及奖项情况、报价抽取情况、系数抽取情况、投标人未通过评审的具体原因也一并公示。具体按《关于进一步规范评标结果公示的通知》（铜公管〔2023〕53号）文件执行。</w:t>
            </w:r>
          </w:p>
        </w:tc>
      </w:tr>
      <w:tr w14:paraId="3DB8E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F9F2D60">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 xml:space="preserve">7.2 </w:t>
            </w:r>
          </w:p>
        </w:tc>
        <w:tc>
          <w:tcPr>
            <w:tcW w:w="1454" w:type="dxa"/>
            <w:vAlign w:val="center"/>
          </w:tcPr>
          <w:p w14:paraId="6ECDBE24">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评标结果异议</w:t>
            </w:r>
          </w:p>
        </w:tc>
        <w:tc>
          <w:tcPr>
            <w:tcW w:w="7257" w:type="dxa"/>
            <w:vAlign w:val="center"/>
          </w:tcPr>
          <w:p w14:paraId="5256E5E1">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投标人或其他利害关系人对评标结果有异议的，应在中标（定标）候选人公示期间提出，招标人将在收到异议之日起3日内作出答复。在异议及后期投诉调查过程中如发现投标人存在弄虚作假、串通投标等违法违规行为或不符合招标文件实质性要求的，无论其是否为中标候选人，均不对评标基准值重新计算。</w:t>
            </w:r>
          </w:p>
        </w:tc>
      </w:tr>
      <w:tr w14:paraId="34E0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C5CCBDA">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7.4</w:t>
            </w:r>
          </w:p>
        </w:tc>
        <w:tc>
          <w:tcPr>
            <w:tcW w:w="1454" w:type="dxa"/>
            <w:vAlign w:val="center"/>
          </w:tcPr>
          <w:p w14:paraId="6300B471">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确定中标人</w:t>
            </w:r>
          </w:p>
        </w:tc>
        <w:tc>
          <w:tcPr>
            <w:tcW w:w="7257" w:type="dxa"/>
            <w:vAlign w:val="center"/>
          </w:tcPr>
          <w:p w14:paraId="3FC47772">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是否授权评标委员会：</w:t>
            </w:r>
            <w:r>
              <w:rPr>
                <w:rFonts w:hint="eastAsia" w:hAnsi="宋体" w:cs="宋体"/>
                <w:bCs/>
                <w:color w:val="auto"/>
                <w:kern w:val="2"/>
                <w:sz w:val="21"/>
                <w:szCs w:val="21"/>
                <w:highlight w:val="none"/>
              </w:rPr>
              <w:sym w:font="Wingdings 2" w:char="F0A3"/>
            </w:r>
            <w:r>
              <w:rPr>
                <w:rFonts w:hint="eastAsia" w:hAnsi="宋体" w:cs="宋体"/>
                <w:color w:val="auto"/>
                <w:kern w:val="2"/>
                <w:sz w:val="21"/>
                <w:szCs w:val="21"/>
                <w:highlight w:val="none"/>
              </w:rPr>
              <w:t>是  ☑否</w:t>
            </w:r>
          </w:p>
          <w:p w14:paraId="73EF309E">
            <w:pPr>
              <w:adjustRightInd w:val="0"/>
              <w:snapToGrid w:val="0"/>
              <w:spacing w:line="240" w:lineRule="auto"/>
              <w:ind w:firstLine="420" w:firstLineChars="200"/>
              <w:rPr>
                <w:rFonts w:hAnsi="宋体" w:cs="宋体"/>
                <w:color w:val="auto"/>
                <w:kern w:val="2"/>
                <w:sz w:val="21"/>
                <w:szCs w:val="21"/>
                <w:highlight w:val="none"/>
              </w:rPr>
            </w:pPr>
            <w:r>
              <w:rPr>
                <w:rFonts w:hint="eastAsia" w:hAnsi="宋体" w:cs="宋体"/>
                <w:color w:val="auto"/>
                <w:kern w:val="2"/>
                <w:sz w:val="21"/>
                <w:szCs w:val="21"/>
                <w:highlight w:val="none"/>
              </w:rPr>
              <w:t>不采用“评定分离”方式的项目，招标人原则上将在中标候选人公示结束后的次日确定中标人并公告中标（定标）结果，最长不超过3日。</w:t>
            </w:r>
          </w:p>
        </w:tc>
      </w:tr>
      <w:tr w14:paraId="7ED35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D80CAA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7.5</w:t>
            </w:r>
          </w:p>
        </w:tc>
        <w:tc>
          <w:tcPr>
            <w:tcW w:w="1454" w:type="dxa"/>
            <w:vAlign w:val="center"/>
          </w:tcPr>
          <w:p w14:paraId="17372FC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中标通知书发出</w:t>
            </w:r>
          </w:p>
        </w:tc>
        <w:tc>
          <w:tcPr>
            <w:tcW w:w="7257" w:type="dxa"/>
            <w:vAlign w:val="center"/>
          </w:tcPr>
          <w:p w14:paraId="71D4EA99">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公告中标（定标）结果的同时发放中标通知书。</w:t>
            </w:r>
          </w:p>
        </w:tc>
      </w:tr>
      <w:tr w14:paraId="19090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4B999BFE">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7.6</w:t>
            </w:r>
          </w:p>
        </w:tc>
        <w:tc>
          <w:tcPr>
            <w:tcW w:w="1454" w:type="dxa"/>
            <w:vAlign w:val="center"/>
          </w:tcPr>
          <w:p w14:paraId="3F1910C3">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中标结果</w:t>
            </w:r>
          </w:p>
          <w:p w14:paraId="732BC1AB">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公示</w:t>
            </w:r>
          </w:p>
        </w:tc>
        <w:tc>
          <w:tcPr>
            <w:tcW w:w="7257" w:type="dxa"/>
            <w:vAlign w:val="center"/>
          </w:tcPr>
          <w:p w14:paraId="6C67FCF2">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公示媒介：同招标公告发布媒介。</w:t>
            </w:r>
          </w:p>
          <w:p w14:paraId="2610273A">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招标人原则上将在中标候选人公示结束后的次日确定中标人并公告中标（定标）结果，最长不超过3日。</w:t>
            </w:r>
          </w:p>
        </w:tc>
      </w:tr>
      <w:tr w14:paraId="2EAFA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764D4B3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7.7.1</w:t>
            </w:r>
          </w:p>
        </w:tc>
        <w:tc>
          <w:tcPr>
            <w:tcW w:w="1454" w:type="dxa"/>
            <w:vAlign w:val="center"/>
          </w:tcPr>
          <w:p w14:paraId="00182647">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履约保证金</w:t>
            </w:r>
          </w:p>
        </w:tc>
        <w:tc>
          <w:tcPr>
            <w:tcW w:w="7257" w:type="dxa"/>
            <w:vAlign w:val="center"/>
          </w:tcPr>
          <w:tbl>
            <w:tblPr>
              <w:tblStyle w:val="54"/>
              <w:tblW w:w="5000" w:type="pct"/>
              <w:tblInd w:w="0" w:type="dxa"/>
              <w:tblLayout w:type="fixed"/>
              <w:tblCellMar>
                <w:top w:w="0" w:type="dxa"/>
                <w:left w:w="108" w:type="dxa"/>
                <w:bottom w:w="0" w:type="dxa"/>
                <w:right w:w="108" w:type="dxa"/>
              </w:tblCellMar>
            </w:tblPr>
            <w:tblGrid>
              <w:gridCol w:w="1642"/>
              <w:gridCol w:w="5399"/>
            </w:tblGrid>
            <w:tr w14:paraId="2B9CFE23">
              <w:trPr>
                <w:trHeight w:val="90" w:hRule="atLeast"/>
              </w:trPr>
              <w:tc>
                <w:tcPr>
                  <w:tcW w:w="1166" w:type="pct"/>
                  <w:vAlign w:val="center"/>
                </w:tcPr>
                <w:p w14:paraId="73DADE46">
                  <w:pPr>
                    <w:adjustRightInd w:val="0"/>
                    <w:snapToGrid w:val="0"/>
                    <w:spacing w:line="240" w:lineRule="auto"/>
                    <w:ind w:left="-84" w:leftChars="-35"/>
                    <w:rPr>
                      <w:rFonts w:hAnsi="宋体" w:cs="宋体"/>
                      <w:color w:val="auto"/>
                      <w:kern w:val="2"/>
                      <w:sz w:val="21"/>
                      <w:szCs w:val="21"/>
                      <w:highlight w:val="none"/>
                    </w:rPr>
                  </w:pPr>
                  <w:r>
                    <w:rPr>
                      <w:rFonts w:hint="eastAsia" w:hAnsi="宋体" w:cs="宋体"/>
                      <w:color w:val="auto"/>
                      <w:kern w:val="2"/>
                      <w:sz w:val="21"/>
                      <w:szCs w:val="21"/>
                      <w:highlight w:val="none"/>
                    </w:rPr>
                    <w:t>（1）形式：</w:t>
                  </w:r>
                </w:p>
              </w:tc>
              <w:tc>
                <w:tcPr>
                  <w:tcW w:w="3834" w:type="pct"/>
                  <w:vAlign w:val="center"/>
                </w:tcPr>
                <w:p w14:paraId="3F7783C2">
                  <w:pPr>
                    <w:adjustRightInd w:val="0"/>
                    <w:snapToGrid w:val="0"/>
                    <w:spacing w:line="240" w:lineRule="auto"/>
                    <w:rPr>
                      <w:rFonts w:hAnsi="宋体" w:cs="宋体"/>
                      <w:bCs/>
                      <w:color w:val="auto"/>
                      <w:kern w:val="2"/>
                      <w:sz w:val="21"/>
                      <w:szCs w:val="21"/>
                      <w:highlight w:val="none"/>
                    </w:rPr>
                  </w:pPr>
                  <w:bookmarkStart w:id="18" w:name="EBbf7d1a7cf1904eb0a9d5ad6f728c2166"/>
                  <w:r>
                    <w:rPr>
                      <w:rFonts w:hint="eastAsia" w:hAnsi="宋体" w:cs="宋体"/>
                      <w:bCs/>
                      <w:color w:val="auto"/>
                      <w:kern w:val="2"/>
                      <w:sz w:val="21"/>
                      <w:szCs w:val="21"/>
                      <w:highlight w:val="none"/>
                    </w:rPr>
                    <w:t>银行转账、银行电汇、银行保函、担保机构担保</w:t>
                  </w:r>
                  <w:bookmarkEnd w:id="18"/>
                  <w:r>
                    <w:rPr>
                      <w:rFonts w:hint="eastAsia" w:hAnsi="宋体" w:cs="宋体"/>
                      <w:bCs/>
                      <w:color w:val="auto"/>
                      <w:kern w:val="2"/>
                      <w:sz w:val="21"/>
                      <w:szCs w:val="21"/>
                      <w:highlight w:val="none"/>
                    </w:rPr>
                    <w:t>、保证保险均可</w:t>
                  </w:r>
                </w:p>
              </w:tc>
            </w:tr>
            <w:tr w14:paraId="3280454B">
              <w:tblPrEx>
                <w:tblCellMar>
                  <w:top w:w="0" w:type="dxa"/>
                  <w:left w:w="108" w:type="dxa"/>
                  <w:bottom w:w="0" w:type="dxa"/>
                  <w:right w:w="108" w:type="dxa"/>
                </w:tblCellMar>
              </w:tblPrEx>
              <w:trPr>
                <w:trHeight w:val="731" w:hRule="atLeast"/>
              </w:trPr>
              <w:tc>
                <w:tcPr>
                  <w:tcW w:w="5000" w:type="pct"/>
                  <w:gridSpan w:val="2"/>
                  <w:vAlign w:val="center"/>
                </w:tcPr>
                <w:p w14:paraId="45C24331">
                  <w:pPr>
                    <w:adjustRightInd w:val="0"/>
                    <w:snapToGrid w:val="0"/>
                    <w:spacing w:line="240" w:lineRule="auto"/>
                    <w:ind w:left="-84" w:leftChars="-35"/>
                    <w:rPr>
                      <w:rFonts w:hAnsi="宋体" w:cs="宋体"/>
                      <w:b/>
                      <w:bCs/>
                      <w:color w:val="auto"/>
                      <w:kern w:val="2"/>
                      <w:sz w:val="21"/>
                      <w:szCs w:val="21"/>
                      <w:highlight w:val="none"/>
                    </w:rPr>
                  </w:pPr>
                  <w:r>
                    <w:rPr>
                      <w:rFonts w:hint="eastAsia" w:hAnsi="宋体" w:cs="宋体"/>
                      <w:color w:val="auto"/>
                      <w:kern w:val="2"/>
                      <w:sz w:val="21"/>
                      <w:szCs w:val="21"/>
                      <w:highlight w:val="none"/>
                    </w:rPr>
                    <w:t>（2）比例/金额：</w:t>
                  </w:r>
                  <w:r>
                    <w:rPr>
                      <w:rFonts w:hint="eastAsia" w:hAnsi="宋体" w:cs="宋体"/>
                      <w:bCs/>
                      <w:color w:val="auto"/>
                      <w:kern w:val="2"/>
                      <w:sz w:val="21"/>
                      <w:szCs w:val="21"/>
                      <w:highlight w:val="none"/>
                    </w:rPr>
                    <w:t>中标合同金额</w:t>
                  </w:r>
                  <w:r>
                    <w:rPr>
                      <w:rFonts w:hint="eastAsia" w:hAnsi="宋体" w:cs="宋体"/>
                      <w:color w:val="auto"/>
                      <w:kern w:val="2"/>
                      <w:sz w:val="21"/>
                      <w:szCs w:val="21"/>
                      <w:highlight w:val="none"/>
                    </w:rPr>
                    <w:t>的</w:t>
                  </w:r>
                  <w:r>
                    <w:rPr>
                      <w:rFonts w:hint="eastAsia" w:hAnsi="宋体" w:cs="宋体"/>
                      <w:b/>
                      <w:color w:val="auto"/>
                      <w:kern w:val="2"/>
                      <w:sz w:val="21"/>
                      <w:szCs w:val="21"/>
                      <w:highlight w:val="none"/>
                      <w:u w:val="single"/>
                    </w:rPr>
                    <w:t xml:space="preserve"> 2 </w:t>
                  </w:r>
                  <w:r>
                    <w:rPr>
                      <w:rFonts w:hint="eastAsia" w:hAnsi="宋体" w:cs="宋体"/>
                      <w:b/>
                      <w:color w:val="auto"/>
                      <w:kern w:val="2"/>
                      <w:sz w:val="21"/>
                      <w:szCs w:val="21"/>
                      <w:highlight w:val="none"/>
                    </w:rPr>
                    <w:t>％</w:t>
                  </w:r>
                </w:p>
              </w:tc>
            </w:tr>
          </w:tbl>
          <w:p w14:paraId="3BC2C36A">
            <w:pPr>
              <w:adjustRightInd w:val="0"/>
              <w:snapToGrid w:val="0"/>
              <w:spacing w:line="240" w:lineRule="auto"/>
              <w:rPr>
                <w:rFonts w:hAnsi="宋体" w:cs="宋体"/>
                <w:color w:val="auto"/>
                <w:kern w:val="2"/>
                <w:sz w:val="21"/>
                <w:szCs w:val="21"/>
                <w:highlight w:val="none"/>
              </w:rPr>
            </w:pPr>
          </w:p>
        </w:tc>
      </w:tr>
      <w:tr w14:paraId="3285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91FAED2">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7.8</w:t>
            </w:r>
          </w:p>
        </w:tc>
        <w:tc>
          <w:tcPr>
            <w:tcW w:w="1454" w:type="dxa"/>
            <w:vAlign w:val="center"/>
          </w:tcPr>
          <w:p w14:paraId="5A228AB7">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签订合同</w:t>
            </w:r>
          </w:p>
        </w:tc>
        <w:tc>
          <w:tcPr>
            <w:tcW w:w="7257" w:type="dxa"/>
            <w:vAlign w:val="center"/>
          </w:tcPr>
          <w:p w14:paraId="63C9BD92">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中标通知书发出之日起</w:t>
            </w:r>
            <w:r>
              <w:rPr>
                <w:rFonts w:hint="eastAsia" w:hAnsi="宋体" w:cs="宋体"/>
                <w:bCs/>
                <w:color w:val="auto"/>
                <w:kern w:val="2"/>
                <w:sz w:val="21"/>
                <w:szCs w:val="21"/>
                <w:highlight w:val="none"/>
                <w:u w:val="single"/>
              </w:rPr>
              <w:t xml:space="preserve"> 5 </w:t>
            </w:r>
            <w:r>
              <w:rPr>
                <w:rFonts w:hint="eastAsia" w:hAnsi="宋体" w:cs="宋体"/>
                <w:bCs/>
                <w:color w:val="auto"/>
                <w:kern w:val="2"/>
                <w:sz w:val="21"/>
                <w:szCs w:val="21"/>
                <w:highlight w:val="none"/>
              </w:rPr>
              <w:t>日内，应委派代表与招标人联系并商讨书面合同签订事宜。中标人和招标人应在投标有效期内以及中标通知书发出之日起30日内，根据招标文件和中标人的投标文件订立书面合同。</w:t>
            </w:r>
          </w:p>
        </w:tc>
      </w:tr>
      <w:tr w14:paraId="3FE60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67" w:type="dxa"/>
            <w:gridSpan w:val="3"/>
            <w:vAlign w:val="center"/>
          </w:tcPr>
          <w:p w14:paraId="3CE57B09">
            <w:pPr>
              <w:adjustRightInd w:val="0"/>
              <w:snapToGrid w:val="0"/>
              <w:spacing w:line="240" w:lineRule="auto"/>
              <w:jc w:val="center"/>
              <w:rPr>
                <w:rFonts w:hAnsi="宋体" w:cs="宋体"/>
                <w:color w:val="auto"/>
                <w:kern w:val="2"/>
                <w:sz w:val="21"/>
                <w:szCs w:val="21"/>
                <w:highlight w:val="none"/>
              </w:rPr>
            </w:pPr>
            <w:r>
              <w:rPr>
                <w:rFonts w:hint="eastAsia" w:hAnsi="宋体" w:cs="宋体"/>
                <w:b/>
                <w:bCs/>
                <w:color w:val="auto"/>
                <w:kern w:val="2"/>
                <w:sz w:val="21"/>
                <w:szCs w:val="21"/>
                <w:highlight w:val="none"/>
              </w:rPr>
              <w:t>10. 需要补充的其他内容</w:t>
            </w:r>
          </w:p>
        </w:tc>
      </w:tr>
      <w:tr w14:paraId="68832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67" w:type="dxa"/>
            <w:gridSpan w:val="3"/>
            <w:vAlign w:val="center"/>
          </w:tcPr>
          <w:p w14:paraId="56B3DD20">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10.1</w:t>
            </w:r>
            <w:r>
              <w:rPr>
                <w:rFonts w:hint="eastAsia" w:hAnsi="宋体" w:cs="宋体"/>
                <w:bCs/>
                <w:color w:val="auto"/>
                <w:kern w:val="2"/>
                <w:sz w:val="21"/>
                <w:szCs w:val="21"/>
                <w:highlight w:val="none"/>
              </w:rPr>
              <w:t xml:space="preserve"> 招标文件获取与通知</w:t>
            </w:r>
          </w:p>
        </w:tc>
      </w:tr>
      <w:tr w14:paraId="69F9D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3E249A7">
            <w:pPr>
              <w:adjustRightInd w:val="0"/>
              <w:snapToGrid w:val="0"/>
              <w:spacing w:line="240" w:lineRule="auto"/>
              <w:jc w:val="center"/>
              <w:rPr>
                <w:rFonts w:hAnsi="宋体" w:cs="宋体"/>
                <w:bCs/>
                <w:color w:val="auto"/>
                <w:kern w:val="2"/>
                <w:sz w:val="21"/>
                <w:szCs w:val="21"/>
                <w:highlight w:val="none"/>
              </w:rPr>
            </w:pPr>
            <w:r>
              <w:rPr>
                <w:rFonts w:hint="eastAsia" w:hAnsi="宋体" w:cs="宋体"/>
                <w:color w:val="auto"/>
                <w:kern w:val="2"/>
                <w:sz w:val="21"/>
                <w:szCs w:val="21"/>
                <w:highlight w:val="none"/>
              </w:rPr>
              <w:t>10.1.1</w:t>
            </w:r>
          </w:p>
        </w:tc>
        <w:tc>
          <w:tcPr>
            <w:tcW w:w="1454" w:type="dxa"/>
            <w:vAlign w:val="center"/>
          </w:tcPr>
          <w:p w14:paraId="1D96844E">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图纸获取说明</w:t>
            </w:r>
          </w:p>
        </w:tc>
        <w:tc>
          <w:tcPr>
            <w:tcW w:w="7257" w:type="dxa"/>
            <w:vAlign w:val="center"/>
          </w:tcPr>
          <w:p w14:paraId="5B47E965">
            <w:pPr>
              <w:widowControl/>
              <w:adjustRightInd w:val="0"/>
              <w:snapToGrid w:val="0"/>
              <w:spacing w:line="240" w:lineRule="auto"/>
              <w:jc w:val="left"/>
              <w:rPr>
                <w:rFonts w:hAnsi="宋体" w:cs="宋体"/>
                <w:bCs/>
                <w:color w:val="auto"/>
                <w:kern w:val="2"/>
                <w:sz w:val="21"/>
                <w:szCs w:val="21"/>
                <w:highlight w:val="none"/>
              </w:rPr>
            </w:pPr>
            <w:r>
              <w:rPr>
                <w:rFonts w:hint="eastAsia" w:hAnsi="宋体" w:cs="宋体"/>
                <w:bCs/>
                <w:color w:val="auto"/>
                <w:kern w:val="2"/>
                <w:sz w:val="21"/>
                <w:szCs w:val="21"/>
                <w:highlight w:val="none"/>
              </w:rPr>
              <w:t>/</w:t>
            </w:r>
          </w:p>
        </w:tc>
      </w:tr>
      <w:tr w14:paraId="0015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1BE4F989">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10.1.2</w:t>
            </w:r>
          </w:p>
        </w:tc>
        <w:tc>
          <w:tcPr>
            <w:tcW w:w="1454" w:type="dxa"/>
            <w:vAlign w:val="center"/>
          </w:tcPr>
          <w:p w14:paraId="02B7F89E">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获取与查看通知</w:t>
            </w:r>
          </w:p>
        </w:tc>
        <w:tc>
          <w:tcPr>
            <w:tcW w:w="7257" w:type="dxa"/>
            <w:vAlign w:val="center"/>
          </w:tcPr>
          <w:p w14:paraId="5800D634">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本项目的招标文件、澄清及修改等相关资料均通过</w:t>
            </w:r>
            <w:r>
              <w:rPr>
                <w:rFonts w:hint="eastAsia" w:hAnsi="宋体" w:cs="宋体"/>
                <w:bCs/>
                <w:color w:val="auto"/>
                <w:kern w:val="2"/>
                <w:sz w:val="21"/>
                <w:szCs w:val="21"/>
                <w:highlight w:val="none"/>
                <w:u w:val="single"/>
                <w:lang w:val="en-US" w:eastAsia="zh-CN"/>
              </w:rPr>
              <w:t>招标公告挂网的网站</w:t>
            </w:r>
            <w:r>
              <w:rPr>
                <w:rFonts w:hint="eastAsia" w:hAnsi="宋体" w:cs="宋体"/>
                <w:color w:val="auto"/>
                <w:kern w:val="2"/>
                <w:sz w:val="21"/>
                <w:szCs w:val="21"/>
                <w:highlight w:val="none"/>
              </w:rPr>
              <w:t>发布，投标人应自行下载查看。</w:t>
            </w:r>
          </w:p>
        </w:tc>
      </w:tr>
      <w:tr w14:paraId="0D58E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AC9CD91">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10.1.3</w:t>
            </w:r>
          </w:p>
        </w:tc>
        <w:tc>
          <w:tcPr>
            <w:tcW w:w="1454" w:type="dxa"/>
            <w:vAlign w:val="center"/>
          </w:tcPr>
          <w:p w14:paraId="68DAC993">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电子招标</w:t>
            </w:r>
          </w:p>
        </w:tc>
        <w:tc>
          <w:tcPr>
            <w:tcW w:w="7257" w:type="dxa"/>
            <w:vAlign w:val="center"/>
          </w:tcPr>
          <w:p w14:paraId="0C169B50">
            <w:pPr>
              <w:adjustRightInd w:val="0"/>
              <w:snapToGrid w:val="0"/>
              <w:spacing w:line="240" w:lineRule="auto"/>
              <w:jc w:val="left"/>
              <w:rPr>
                <w:rFonts w:hint="eastAsia" w:hAnsi="宋体" w:cs="宋体"/>
                <w:bCs/>
                <w:color w:val="auto"/>
                <w:kern w:val="2"/>
                <w:sz w:val="21"/>
                <w:szCs w:val="21"/>
                <w:highlight w:val="none"/>
              </w:rPr>
            </w:pPr>
            <w:r>
              <w:rPr>
                <w:rFonts w:hint="eastAsia" w:hAnsi="宋体" w:cs="宋体"/>
                <w:bCs/>
                <w:color w:val="auto"/>
                <w:kern w:val="2"/>
                <w:sz w:val="21"/>
                <w:szCs w:val="21"/>
                <w:highlight w:val="none"/>
              </w:rPr>
              <w:t>本项目</w:t>
            </w:r>
            <w:r>
              <w:rPr>
                <w:rFonts w:hint="eastAsia" w:hAnsi="宋体" w:cs="宋体"/>
                <w:bCs/>
                <w:color w:val="auto"/>
                <w:kern w:val="2"/>
                <w:sz w:val="21"/>
                <w:szCs w:val="21"/>
                <w:highlight w:val="none"/>
                <w:lang w:val="en-US" w:eastAsia="zh-CN"/>
              </w:rPr>
              <w:t>不采用</w:t>
            </w:r>
            <w:r>
              <w:rPr>
                <w:rFonts w:hint="eastAsia" w:hAnsi="宋体" w:cs="宋体"/>
                <w:bCs/>
                <w:color w:val="auto"/>
                <w:kern w:val="2"/>
                <w:sz w:val="21"/>
                <w:szCs w:val="21"/>
                <w:highlight w:val="none"/>
              </w:rPr>
              <w:t>电子招标投标方式。</w:t>
            </w:r>
          </w:p>
        </w:tc>
      </w:tr>
      <w:tr w14:paraId="1060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67" w:type="dxa"/>
            <w:gridSpan w:val="3"/>
            <w:vAlign w:val="center"/>
          </w:tcPr>
          <w:p w14:paraId="2030DC60">
            <w:pPr>
              <w:widowControl/>
              <w:adjustRightInd w:val="0"/>
              <w:snapToGrid w:val="0"/>
              <w:spacing w:line="240" w:lineRule="auto"/>
              <w:jc w:val="left"/>
              <w:rPr>
                <w:rFonts w:hAnsi="宋体" w:cs="宋体"/>
                <w:bCs/>
                <w:color w:val="auto"/>
                <w:kern w:val="2"/>
                <w:sz w:val="21"/>
                <w:szCs w:val="21"/>
                <w:highlight w:val="none"/>
              </w:rPr>
            </w:pPr>
            <w:r>
              <w:rPr>
                <w:rFonts w:hint="eastAsia" w:hAnsi="宋体" w:cs="宋体"/>
                <w:b/>
                <w:color w:val="auto"/>
                <w:kern w:val="2"/>
                <w:sz w:val="21"/>
                <w:szCs w:val="21"/>
                <w:highlight w:val="none"/>
              </w:rPr>
              <w:t>10.3 投标文件的编制要求</w:t>
            </w:r>
          </w:p>
        </w:tc>
      </w:tr>
      <w:tr w14:paraId="609E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8F3F9E0">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10.4</w:t>
            </w:r>
          </w:p>
        </w:tc>
        <w:tc>
          <w:tcPr>
            <w:tcW w:w="1454" w:type="dxa"/>
            <w:vAlign w:val="center"/>
          </w:tcPr>
          <w:p w14:paraId="289B9D74">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评标过程中的澄清、说明或补正</w:t>
            </w:r>
          </w:p>
        </w:tc>
        <w:tc>
          <w:tcPr>
            <w:tcW w:w="7257" w:type="dxa"/>
            <w:vAlign w:val="center"/>
          </w:tcPr>
          <w:p w14:paraId="0D1F219D">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专家质询、业绩奖项等客观得分通知、否决投标通知及投标人的答复均通过</w:t>
            </w:r>
            <w:r>
              <w:rPr>
                <w:rFonts w:hint="eastAsia" w:hAnsi="宋体" w:cs="宋体"/>
                <w:bCs/>
                <w:color w:val="auto"/>
                <w:kern w:val="2"/>
                <w:sz w:val="21"/>
                <w:szCs w:val="21"/>
                <w:highlight w:val="none"/>
                <w:lang w:val="en-US" w:eastAsia="zh-CN"/>
              </w:rPr>
              <w:t>现场</w:t>
            </w:r>
            <w:r>
              <w:rPr>
                <w:rFonts w:hint="eastAsia" w:hAnsi="宋体" w:cs="宋体"/>
                <w:bCs/>
                <w:color w:val="auto"/>
                <w:kern w:val="2"/>
                <w:sz w:val="21"/>
                <w:szCs w:val="21"/>
                <w:highlight w:val="none"/>
              </w:rPr>
              <w:t>完成，请各投标人在</w:t>
            </w:r>
            <w:r>
              <w:rPr>
                <w:rFonts w:hint="eastAsia" w:hAnsi="宋体" w:cs="宋体"/>
                <w:bCs/>
                <w:color w:val="auto"/>
                <w:kern w:val="2"/>
                <w:sz w:val="21"/>
                <w:szCs w:val="21"/>
                <w:highlight w:val="none"/>
                <w:u w:val="single"/>
              </w:rPr>
              <w:t xml:space="preserve"> 30 </w:t>
            </w:r>
            <w:r>
              <w:rPr>
                <w:rFonts w:hint="eastAsia" w:hAnsi="宋体" w:cs="宋体"/>
                <w:bCs/>
                <w:color w:val="auto"/>
                <w:kern w:val="2"/>
                <w:sz w:val="21"/>
                <w:szCs w:val="21"/>
                <w:highlight w:val="none"/>
              </w:rPr>
              <w:t>分钟内进行回复，</w:t>
            </w:r>
            <w:r>
              <w:rPr>
                <w:rFonts w:hint="eastAsia" w:ascii="宋体" w:hAnsi="宋体" w:eastAsia="宋体" w:cs="宋体"/>
                <w:color w:val="auto"/>
                <w:sz w:val="21"/>
                <w:szCs w:val="21"/>
                <w:highlight w:val="none"/>
                <w:lang w:val="en-US" w:eastAsia="zh-CN" w:bidi="ar-SA"/>
              </w:rPr>
              <w:t>逾期未回复的，评标委员会</w:t>
            </w:r>
            <w:r>
              <w:rPr>
                <w:rFonts w:hint="eastAsia" w:cs="宋体"/>
                <w:color w:val="auto"/>
                <w:sz w:val="21"/>
                <w:szCs w:val="21"/>
                <w:highlight w:val="none"/>
                <w:lang w:val="en-US" w:eastAsia="zh-CN" w:bidi="ar-SA"/>
              </w:rPr>
              <w:t>可</w:t>
            </w:r>
            <w:r>
              <w:rPr>
                <w:rFonts w:hint="eastAsia" w:ascii="宋体" w:hAnsi="宋体" w:eastAsia="宋体" w:cs="宋体"/>
                <w:color w:val="auto"/>
                <w:sz w:val="21"/>
                <w:szCs w:val="21"/>
                <w:highlight w:val="none"/>
                <w:lang w:val="en-US" w:eastAsia="zh-CN" w:bidi="ar-SA"/>
              </w:rPr>
              <w:t>按投标人不利的解释判定。</w:t>
            </w:r>
          </w:p>
        </w:tc>
      </w:tr>
      <w:tr w14:paraId="6C71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2E73472">
            <w:pPr>
              <w:adjustRightInd w:val="0"/>
              <w:snapToGrid w:val="0"/>
              <w:spacing w:line="240" w:lineRule="auto"/>
              <w:jc w:val="center"/>
              <w:rPr>
                <w:rFonts w:hAnsi="宋体" w:cs="宋体"/>
                <w:color w:val="auto"/>
                <w:kern w:val="2"/>
                <w:sz w:val="21"/>
                <w:szCs w:val="21"/>
                <w:highlight w:val="none"/>
              </w:rPr>
            </w:pPr>
            <w:r>
              <w:rPr>
                <w:rFonts w:hint="eastAsia" w:hAnsi="宋体" w:cs="宋体"/>
                <w:bCs/>
                <w:color w:val="auto"/>
                <w:kern w:val="2"/>
                <w:sz w:val="21"/>
                <w:szCs w:val="21"/>
                <w:highlight w:val="none"/>
              </w:rPr>
              <w:t>10.5</w:t>
            </w:r>
          </w:p>
        </w:tc>
        <w:tc>
          <w:tcPr>
            <w:tcW w:w="1454" w:type="dxa"/>
            <w:vAlign w:val="center"/>
          </w:tcPr>
          <w:p w14:paraId="14C264F9">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招标代理服务费</w:t>
            </w:r>
          </w:p>
        </w:tc>
        <w:tc>
          <w:tcPr>
            <w:tcW w:w="7257" w:type="dxa"/>
            <w:vAlign w:val="center"/>
          </w:tcPr>
          <w:p w14:paraId="7681830B">
            <w:pPr>
              <w:widowControl/>
              <w:adjustRightInd w:val="0"/>
              <w:snapToGrid w:val="0"/>
              <w:spacing w:line="240" w:lineRule="auto"/>
              <w:jc w:val="left"/>
              <w:rPr>
                <w:rFonts w:hAnsi="宋体" w:cs="宋体"/>
                <w:bCs/>
                <w:color w:val="auto"/>
                <w:kern w:val="2"/>
                <w:sz w:val="21"/>
                <w:szCs w:val="21"/>
                <w:highlight w:val="none"/>
              </w:rPr>
            </w:pPr>
            <w:r>
              <w:rPr>
                <w:rFonts w:hint="eastAsia" w:hAnsi="宋体" w:cs="宋体"/>
                <w:bCs/>
                <w:color w:val="auto"/>
                <w:kern w:val="2"/>
                <w:sz w:val="21"/>
                <w:szCs w:val="21"/>
                <w:highlight w:val="none"/>
              </w:rPr>
              <w:t>本项目以下费用：</w:t>
            </w:r>
            <w:r>
              <w:rPr>
                <w:rFonts w:hint="eastAsia" w:hAnsi="宋体" w:cs="宋体"/>
                <w:color w:val="auto"/>
                <w:kern w:val="2"/>
                <w:sz w:val="21"/>
                <w:szCs w:val="21"/>
                <w:highlight w:val="none"/>
              </w:rPr>
              <w:t>□</w:t>
            </w:r>
            <w:r>
              <w:rPr>
                <w:rFonts w:hint="eastAsia" w:hAnsi="宋体" w:cs="宋体"/>
                <w:bCs/>
                <w:color w:val="auto"/>
                <w:kern w:val="2"/>
                <w:sz w:val="21"/>
                <w:szCs w:val="21"/>
                <w:highlight w:val="none"/>
              </w:rPr>
              <w:t>招标人支付  ☑中标人支付</w:t>
            </w:r>
          </w:p>
          <w:p w14:paraId="47502D22">
            <w:pPr>
              <w:widowControl/>
              <w:adjustRightInd w:val="0"/>
              <w:snapToGrid w:val="0"/>
              <w:spacing w:line="240" w:lineRule="auto"/>
              <w:jc w:val="left"/>
              <w:rPr>
                <w:rFonts w:hAnsi="宋体" w:cs="宋体"/>
                <w:bCs/>
                <w:color w:val="auto"/>
                <w:kern w:val="2"/>
                <w:sz w:val="21"/>
                <w:szCs w:val="21"/>
                <w:highlight w:val="none"/>
              </w:rPr>
            </w:pPr>
            <w:r>
              <w:rPr>
                <w:rFonts w:hint="eastAsia" w:hAnsi="宋体" w:cs="宋体"/>
                <w:bCs/>
                <w:color w:val="auto"/>
                <w:kern w:val="2"/>
                <w:sz w:val="21"/>
                <w:szCs w:val="21"/>
                <w:highlight w:val="none"/>
              </w:rPr>
              <w:t>招标代理服务费：</w:t>
            </w:r>
            <w:r>
              <w:rPr>
                <w:rFonts w:hint="eastAsia" w:hAnsi="宋体" w:cs="宋体"/>
                <w:bCs/>
                <w:color w:val="auto"/>
                <w:kern w:val="2"/>
                <w:sz w:val="21"/>
                <w:szCs w:val="21"/>
                <w:highlight w:val="none"/>
                <w:u w:val="single"/>
                <w:lang w:val="en-US" w:eastAsia="zh-CN"/>
              </w:rPr>
              <w:t>10000</w:t>
            </w:r>
            <w:r>
              <w:rPr>
                <w:rFonts w:hint="eastAsia" w:hAnsi="宋体" w:cs="宋体"/>
                <w:bCs/>
                <w:color w:val="auto"/>
                <w:kern w:val="2"/>
                <w:sz w:val="21"/>
                <w:szCs w:val="21"/>
                <w:highlight w:val="none"/>
                <w:u w:val="single"/>
              </w:rPr>
              <w:t>元整。此费用不单列包含在投标总价中，由中标人支付给招标代理单位，招标人不再另行支付。</w:t>
            </w:r>
          </w:p>
        </w:tc>
      </w:tr>
      <w:tr w14:paraId="3BA58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022C7367">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10.6</w:t>
            </w:r>
          </w:p>
        </w:tc>
        <w:tc>
          <w:tcPr>
            <w:tcW w:w="1454" w:type="dxa"/>
            <w:vAlign w:val="center"/>
          </w:tcPr>
          <w:p w14:paraId="18C0A07E">
            <w:pPr>
              <w:adjustRightInd w:val="0"/>
              <w:snapToGrid w:val="0"/>
              <w:spacing w:line="240" w:lineRule="auto"/>
              <w:jc w:val="center"/>
              <w:rPr>
                <w:rFonts w:hAnsi="宋体" w:cs="宋体"/>
                <w:color w:val="auto"/>
                <w:kern w:val="2"/>
                <w:sz w:val="21"/>
                <w:szCs w:val="21"/>
                <w:highlight w:val="none"/>
              </w:rPr>
            </w:pPr>
            <w:r>
              <w:rPr>
                <w:rFonts w:hint="eastAsia" w:hAnsi="宋体" w:cs="宋体"/>
                <w:bCs/>
                <w:color w:val="auto"/>
                <w:kern w:val="2"/>
                <w:sz w:val="21"/>
                <w:szCs w:val="21"/>
                <w:highlight w:val="none"/>
              </w:rPr>
              <w:t>其他</w:t>
            </w:r>
          </w:p>
        </w:tc>
        <w:tc>
          <w:tcPr>
            <w:tcW w:w="7257" w:type="dxa"/>
            <w:vAlign w:val="center"/>
          </w:tcPr>
          <w:p w14:paraId="6D70F860">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（1）项目负责人必须是投标人本单位工作人员，提供虚假资料谋取中标将被依法处罚。</w:t>
            </w:r>
          </w:p>
          <w:p w14:paraId="335AF7A9">
            <w:pPr>
              <w:adjustRightInd w:val="0"/>
              <w:snapToGrid w:val="0"/>
              <w:spacing w:line="240" w:lineRule="auto"/>
              <w:rPr>
                <w:rFonts w:hAnsi="宋体" w:cs="宋体"/>
                <w:bCs/>
                <w:color w:val="auto"/>
                <w:kern w:val="2"/>
                <w:sz w:val="21"/>
                <w:szCs w:val="21"/>
                <w:highlight w:val="none"/>
              </w:rPr>
            </w:pPr>
            <w:r>
              <w:rPr>
                <w:rFonts w:hint="eastAsia" w:hAnsi="宋体" w:cs="宋体"/>
                <w:bCs/>
                <w:color w:val="auto"/>
                <w:kern w:val="2"/>
                <w:sz w:val="21"/>
                <w:szCs w:val="21"/>
                <w:highlight w:val="none"/>
              </w:rPr>
              <w:t>（2）投标人对所提交的投标人或拟派项目负责人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61B24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542BD51B">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10.7</w:t>
            </w:r>
          </w:p>
        </w:tc>
        <w:tc>
          <w:tcPr>
            <w:tcW w:w="1454" w:type="dxa"/>
            <w:vAlign w:val="center"/>
          </w:tcPr>
          <w:p w14:paraId="07844611">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同义词语</w:t>
            </w:r>
          </w:p>
        </w:tc>
        <w:tc>
          <w:tcPr>
            <w:tcW w:w="7257" w:type="dxa"/>
            <w:vAlign w:val="center"/>
          </w:tcPr>
          <w:p w14:paraId="19138520">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构成招标文件组成部分的“通用合同条款”、“专用合同条款”、“技术标准和要求”和“项目需求”等章节中 “发包人”和“</w:t>
            </w:r>
            <w:r>
              <w:rPr>
                <w:rFonts w:hint="eastAsia" w:hAnsi="宋体" w:cs="宋体"/>
                <w:color w:val="auto"/>
                <w:kern w:val="2"/>
                <w:sz w:val="21"/>
                <w:szCs w:val="21"/>
                <w:highlight w:val="none"/>
                <w:lang w:val="en-US" w:eastAsia="zh-CN"/>
              </w:rPr>
              <w:t>承包</w:t>
            </w:r>
            <w:r>
              <w:rPr>
                <w:rFonts w:hint="eastAsia" w:hAnsi="宋体" w:cs="宋体"/>
                <w:color w:val="auto"/>
                <w:kern w:val="2"/>
                <w:sz w:val="21"/>
                <w:szCs w:val="21"/>
                <w:highlight w:val="none"/>
              </w:rPr>
              <w:t>人”，等同于招标投标阶段的“招标人”和“投标人/中标人”。</w:t>
            </w:r>
          </w:p>
        </w:tc>
      </w:tr>
      <w:tr w14:paraId="1BBC3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6F7F23C3">
            <w:pPr>
              <w:adjustRightInd w:val="0"/>
              <w:snapToGrid w:val="0"/>
              <w:spacing w:line="240" w:lineRule="auto"/>
              <w:jc w:val="center"/>
              <w:rPr>
                <w:rFonts w:hAnsi="宋体" w:cs="宋体"/>
                <w:bCs/>
                <w:color w:val="auto"/>
                <w:kern w:val="2"/>
                <w:sz w:val="21"/>
                <w:szCs w:val="21"/>
                <w:highlight w:val="none"/>
              </w:rPr>
            </w:pPr>
            <w:r>
              <w:rPr>
                <w:rFonts w:hint="eastAsia" w:hAnsi="宋体" w:cs="宋体"/>
                <w:bCs/>
                <w:color w:val="auto"/>
                <w:kern w:val="2"/>
                <w:sz w:val="21"/>
                <w:szCs w:val="21"/>
                <w:highlight w:val="none"/>
              </w:rPr>
              <w:t>10.8</w:t>
            </w:r>
          </w:p>
        </w:tc>
        <w:tc>
          <w:tcPr>
            <w:tcW w:w="1454" w:type="dxa"/>
            <w:vAlign w:val="center"/>
          </w:tcPr>
          <w:p w14:paraId="73014C1B">
            <w:pPr>
              <w:adjustRightInd w:val="0"/>
              <w:snapToGrid w:val="0"/>
              <w:spacing w:line="240" w:lineRule="auto"/>
              <w:jc w:val="center"/>
              <w:rPr>
                <w:rFonts w:hAnsi="宋体" w:cs="宋体"/>
                <w:color w:val="auto"/>
                <w:kern w:val="2"/>
                <w:sz w:val="21"/>
                <w:szCs w:val="21"/>
                <w:highlight w:val="none"/>
              </w:rPr>
            </w:pPr>
            <w:r>
              <w:rPr>
                <w:rFonts w:hint="eastAsia" w:hAnsi="宋体" w:cs="宋体"/>
                <w:color w:val="auto"/>
                <w:kern w:val="2"/>
                <w:sz w:val="21"/>
                <w:szCs w:val="21"/>
                <w:highlight w:val="none"/>
              </w:rPr>
              <w:t>解释权</w:t>
            </w:r>
          </w:p>
        </w:tc>
        <w:tc>
          <w:tcPr>
            <w:tcW w:w="7257" w:type="dxa"/>
            <w:vAlign w:val="center"/>
          </w:tcPr>
          <w:p w14:paraId="486FD782">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(1)构成本招标文件的各个组成文件应互为解释，互为说明；</w:t>
            </w:r>
          </w:p>
          <w:p w14:paraId="695BE535">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(2)同一组成文件中就同一事项的规定或约定不一致的，以编排顺序在后者为准；</w:t>
            </w:r>
          </w:p>
          <w:p w14:paraId="6AE4F953">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(3)如有不明确或不一致，构成合同文件组成内容的，以合同文件约定内容为准，且以专用合同条款约定的合同文件优先顺序解释；</w:t>
            </w:r>
          </w:p>
          <w:p w14:paraId="7CA36696">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(4)除招标文件中有特别规定外，仅适用于招标投标阶段的规定，按评标办法、招标公告、投标人须知、投标文件格式的先后顺序解释；</w:t>
            </w:r>
          </w:p>
          <w:p w14:paraId="4961CB64">
            <w:pPr>
              <w:adjustRightInd w:val="0"/>
              <w:snapToGrid w:val="0"/>
              <w:spacing w:line="240" w:lineRule="auto"/>
              <w:rPr>
                <w:rFonts w:hAnsi="宋体" w:cs="宋体"/>
                <w:color w:val="auto"/>
                <w:kern w:val="2"/>
                <w:sz w:val="21"/>
                <w:szCs w:val="21"/>
                <w:highlight w:val="none"/>
              </w:rPr>
            </w:pPr>
            <w:r>
              <w:rPr>
                <w:rFonts w:hint="eastAsia" w:hAnsi="宋体" w:cs="宋体"/>
                <w:color w:val="auto"/>
                <w:kern w:val="2"/>
                <w:sz w:val="21"/>
                <w:szCs w:val="21"/>
                <w:highlight w:val="none"/>
              </w:rPr>
              <w:t>(5)按本款前述规定仍不能形成结论的，由招标人或其委托的招标代理机构负责解释。</w:t>
            </w:r>
          </w:p>
        </w:tc>
      </w:tr>
      <w:tr w14:paraId="12457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Align w:val="center"/>
          </w:tcPr>
          <w:p w14:paraId="3404A8D2">
            <w:pPr>
              <w:adjustRightInd w:val="0"/>
              <w:snapToGrid w:val="0"/>
              <w:spacing w:line="240" w:lineRule="auto"/>
              <w:jc w:val="center"/>
              <w:rPr>
                <w:rFonts w:hAnsi="宋体" w:cs="宋体"/>
                <w:b/>
                <w:bCs/>
                <w:color w:val="auto"/>
                <w:kern w:val="2"/>
                <w:sz w:val="21"/>
                <w:szCs w:val="21"/>
                <w:highlight w:val="none"/>
              </w:rPr>
            </w:pPr>
            <w:r>
              <w:rPr>
                <w:rFonts w:hint="eastAsia" w:hAnsi="宋体" w:cs="宋体"/>
                <w:b/>
                <w:bCs/>
                <w:color w:val="auto"/>
                <w:kern w:val="2"/>
                <w:sz w:val="21"/>
                <w:szCs w:val="21"/>
                <w:highlight w:val="none"/>
              </w:rPr>
              <w:t>10.9</w:t>
            </w:r>
          </w:p>
        </w:tc>
        <w:tc>
          <w:tcPr>
            <w:tcW w:w="1454" w:type="dxa"/>
            <w:vAlign w:val="center"/>
          </w:tcPr>
          <w:p w14:paraId="67F44476">
            <w:pPr>
              <w:pStyle w:val="346"/>
              <w:pageBreakBefore w:val="0"/>
              <w:shd w:val="clear" w:color="auto" w:fill="auto"/>
              <w:kinsoku/>
              <w:wordWrap w:val="0"/>
              <w:overflowPunct/>
              <w:topLinePunct w:val="0"/>
              <w:bidi w:val="0"/>
              <w:adjustRightInd/>
              <w:snapToGrid w:val="0"/>
              <w:spacing w:line="240" w:lineRule="auto"/>
              <w:jc w:val="center"/>
              <w:rPr>
                <w:rFonts w:hAnsi="宋体" w:cs="宋体"/>
                <w:b/>
                <w:bCs/>
                <w:color w:val="auto"/>
                <w:kern w:val="2"/>
                <w:sz w:val="21"/>
                <w:szCs w:val="21"/>
                <w:highlight w:val="none"/>
              </w:rPr>
            </w:pPr>
            <w:r>
              <w:rPr>
                <w:rFonts w:hint="eastAsia" w:cs="宋体"/>
                <w:b/>
                <w:bCs/>
                <w:color w:val="auto"/>
                <w:highlight w:val="none"/>
                <w:lang w:val="zh-CN"/>
              </w:rPr>
              <w:t>投标文件份数</w:t>
            </w:r>
          </w:p>
        </w:tc>
        <w:tc>
          <w:tcPr>
            <w:tcW w:w="7257" w:type="dxa"/>
            <w:vAlign w:val="center"/>
          </w:tcPr>
          <w:p w14:paraId="477E7825">
            <w:pPr>
              <w:adjustRightInd w:val="0"/>
              <w:snapToGrid w:val="0"/>
              <w:spacing w:line="240" w:lineRule="auto"/>
              <w:jc w:val="left"/>
              <w:rPr>
                <w:rFonts w:hAnsi="宋体" w:cs="宋体"/>
                <w:b/>
                <w:bCs/>
                <w:color w:val="auto"/>
                <w:kern w:val="2"/>
                <w:sz w:val="21"/>
                <w:szCs w:val="21"/>
                <w:highlight w:val="none"/>
              </w:rPr>
            </w:pPr>
            <w:r>
              <w:rPr>
                <w:rFonts w:hint="eastAsia"/>
                <w:b/>
                <w:bCs/>
                <w:color w:val="auto"/>
                <w:highlight w:val="none"/>
              </w:rPr>
              <w:t>本项目采用纸质投标文件开评标方式。提供纸质投标文件份数：一份正本</w:t>
            </w:r>
            <w:r>
              <w:rPr>
                <w:rFonts w:hint="eastAsia"/>
                <w:b/>
                <w:bCs/>
                <w:color w:val="auto"/>
                <w:highlight w:val="none"/>
                <w:lang w:eastAsia="zh-CN"/>
              </w:rPr>
              <w:t>、</w:t>
            </w:r>
            <w:r>
              <w:rPr>
                <w:rFonts w:hint="eastAsia"/>
                <w:b/>
                <w:bCs/>
                <w:color w:val="auto"/>
                <w:highlight w:val="none"/>
                <w:lang w:val="en-US" w:eastAsia="zh-CN"/>
              </w:rPr>
              <w:t>一份副本</w:t>
            </w:r>
            <w:r>
              <w:rPr>
                <w:rFonts w:hint="eastAsia"/>
                <w:b/>
                <w:bCs/>
                <w:color w:val="auto"/>
                <w:highlight w:val="none"/>
                <w:lang w:eastAsia="zh-CN"/>
              </w:rPr>
              <w:t>，</w:t>
            </w:r>
            <w:r>
              <w:rPr>
                <w:rFonts w:hint="eastAsia"/>
                <w:b/>
                <w:bCs/>
                <w:color w:val="auto"/>
                <w:highlight w:val="none"/>
                <w:lang w:val="en-US" w:eastAsia="zh-CN"/>
              </w:rPr>
              <w:t>投标文件加盖公章或电子印章的PDF电子U盘一份</w:t>
            </w:r>
            <w:r>
              <w:rPr>
                <w:rFonts w:hint="eastAsia"/>
                <w:b/>
                <w:bCs/>
                <w:color w:val="auto"/>
                <w:highlight w:val="none"/>
              </w:rPr>
              <w:t>。中标单位在领取中标通知书时须提供</w:t>
            </w:r>
            <w:r>
              <w:rPr>
                <w:rFonts w:hint="eastAsia"/>
                <w:b/>
                <w:bCs/>
                <w:color w:val="auto"/>
                <w:highlight w:val="none"/>
                <w:lang w:val="en-US" w:eastAsia="zh-CN"/>
              </w:rPr>
              <w:t>2</w:t>
            </w:r>
            <w:r>
              <w:rPr>
                <w:rFonts w:hint="eastAsia"/>
                <w:b/>
                <w:bCs/>
                <w:color w:val="auto"/>
                <w:highlight w:val="none"/>
              </w:rPr>
              <w:t>份投标文件副本。</w:t>
            </w:r>
          </w:p>
        </w:tc>
      </w:tr>
    </w:tbl>
    <w:p w14:paraId="700A312C">
      <w:pPr>
        <w:adjustRightInd w:val="0"/>
        <w:snapToGrid w:val="0"/>
        <w:spacing w:line="360" w:lineRule="auto"/>
        <w:rPr>
          <w:rFonts w:hAnsi="宋体" w:cs="宋体"/>
          <w:color w:val="auto"/>
          <w:sz w:val="20"/>
          <w:highlight w:val="none"/>
        </w:rPr>
      </w:pPr>
    </w:p>
    <w:p w14:paraId="2D15B4B4">
      <w:pPr>
        <w:pStyle w:val="3"/>
        <w:jc w:val="center"/>
        <w:rPr>
          <w:rFonts w:ascii="宋体" w:hAnsi="宋体" w:cs="宋体"/>
          <w:b w:val="0"/>
          <w:color w:val="auto"/>
          <w:highlight w:val="none"/>
        </w:rPr>
      </w:pPr>
      <w:r>
        <w:rPr>
          <w:rFonts w:hint="eastAsia" w:ascii="宋体" w:hAnsi="宋体" w:cs="宋体"/>
          <w:color w:val="auto"/>
          <w:sz w:val="28"/>
          <w:szCs w:val="28"/>
          <w:highlight w:val="none"/>
        </w:rPr>
        <w:br w:type="page"/>
      </w:r>
      <w:bookmarkStart w:id="19" w:name="_Toc283798416"/>
      <w:bookmarkStart w:id="20" w:name="_Toc460226720"/>
      <w:bookmarkStart w:id="21" w:name="_Toc13517"/>
      <w:bookmarkStart w:id="22" w:name="_Toc11078137"/>
      <w:bookmarkStart w:id="23" w:name="_Toc421916975"/>
      <w:bookmarkStart w:id="24" w:name="_Toc460660062"/>
      <w:bookmarkStart w:id="25" w:name="_Toc460226989"/>
      <w:bookmarkStart w:id="26" w:name="_Toc13709"/>
      <w:bookmarkStart w:id="27" w:name="_Toc38879316"/>
      <w:r>
        <w:rPr>
          <w:rFonts w:hint="eastAsia" w:ascii="宋体" w:hAnsi="宋体" w:cs="宋体"/>
          <w:b w:val="0"/>
          <w:color w:val="auto"/>
          <w:highlight w:val="none"/>
        </w:rPr>
        <w:t>附录1  资格审查条件(资质最低条件)</w:t>
      </w:r>
      <w:bookmarkEnd w:id="19"/>
      <w:bookmarkEnd w:id="20"/>
      <w:bookmarkEnd w:id="21"/>
      <w:bookmarkEnd w:id="22"/>
      <w:bookmarkEnd w:id="23"/>
      <w:bookmarkEnd w:id="24"/>
      <w:bookmarkEnd w:id="25"/>
      <w:bookmarkEnd w:id="26"/>
      <w:bookmarkEnd w:id="27"/>
    </w:p>
    <w:tbl>
      <w:tblPr>
        <w:tblStyle w:val="54"/>
        <w:tblW w:w="47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2"/>
      </w:tblGrid>
      <w:tr w14:paraId="021EC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14:paraId="6A685458">
            <w:pPr>
              <w:pStyle w:val="197"/>
              <w:adjustRightInd w:val="0"/>
              <w:snapToGrid w:val="0"/>
              <w:jc w:val="center"/>
              <w:rPr>
                <w:rFonts w:ascii="宋体" w:hAnsi="宋体" w:cs="宋体"/>
                <w:b/>
                <w:bCs/>
                <w:color w:val="auto"/>
                <w:szCs w:val="21"/>
                <w:highlight w:val="none"/>
              </w:rPr>
            </w:pPr>
            <w:r>
              <w:rPr>
                <w:rFonts w:hint="eastAsia" w:ascii="宋体" w:hAnsi="宋体" w:cs="宋体"/>
                <w:b/>
                <w:bCs/>
                <w:color w:val="auto"/>
                <w:szCs w:val="21"/>
                <w:highlight w:val="none"/>
              </w:rPr>
              <w:t>资质证书及其他要求</w:t>
            </w:r>
          </w:p>
        </w:tc>
      </w:tr>
      <w:tr w14:paraId="23FC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5000" w:type="pct"/>
            <w:tcBorders>
              <w:top w:val="single" w:color="auto" w:sz="4" w:space="0"/>
              <w:left w:val="single" w:color="auto" w:sz="4" w:space="0"/>
              <w:bottom w:val="single" w:color="auto" w:sz="4" w:space="0"/>
              <w:right w:val="single" w:color="auto" w:sz="4" w:space="0"/>
            </w:tcBorders>
          </w:tcPr>
          <w:p w14:paraId="1E375AA1">
            <w:pPr>
              <w:numPr>
                <w:ilvl w:val="0"/>
                <w:numId w:val="3"/>
              </w:numPr>
              <w:autoSpaceDE w:val="0"/>
              <w:autoSpaceDN w:val="0"/>
              <w:adjustRightInd w:val="0"/>
              <w:snapToGrid w:val="0"/>
              <w:spacing w:line="360" w:lineRule="auto"/>
              <w:ind w:firstLine="420" w:firstLineChars="200"/>
              <w:rPr>
                <w:rFonts w:hint="eastAsia" w:hAnsi="宋体" w:cs="宋体"/>
                <w:bCs/>
                <w:color w:val="auto"/>
                <w:sz w:val="21"/>
                <w:szCs w:val="21"/>
                <w:highlight w:val="none"/>
              </w:rPr>
            </w:pPr>
            <w:r>
              <w:rPr>
                <w:rFonts w:hint="eastAsia" w:hAnsi="宋体" w:cs="宋体"/>
                <w:bCs/>
                <w:color w:val="auto"/>
                <w:sz w:val="21"/>
                <w:szCs w:val="21"/>
                <w:highlight w:val="none"/>
              </w:rPr>
              <w:t>具备有效的营业执照。</w:t>
            </w:r>
          </w:p>
          <w:p w14:paraId="09ADC3E1">
            <w:pPr>
              <w:numPr>
                <w:ilvl w:val="0"/>
                <w:numId w:val="3"/>
              </w:numPr>
              <w:autoSpaceDE w:val="0"/>
              <w:autoSpaceDN w:val="0"/>
              <w:adjustRightInd w:val="0"/>
              <w:snapToGrid w:val="0"/>
              <w:spacing w:line="360" w:lineRule="auto"/>
              <w:ind w:firstLine="420" w:firstLineChars="200"/>
              <w:rPr>
                <w:rFonts w:ascii="宋体" w:hAnsi="宋体" w:cs="宋体"/>
                <w:bCs/>
                <w:color w:val="auto"/>
                <w:kern w:val="0"/>
                <w:szCs w:val="21"/>
                <w:highlight w:val="none"/>
              </w:rPr>
            </w:pPr>
            <w:r>
              <w:rPr>
                <w:rFonts w:hint="eastAsia" w:hAnsi="宋体" w:cs="宋体"/>
                <w:bCs/>
                <w:color w:val="auto"/>
                <w:sz w:val="21"/>
                <w:szCs w:val="21"/>
                <w:highlight w:val="none"/>
                <w:lang w:val="en-US" w:eastAsia="zh-CN"/>
              </w:rPr>
              <w:t>具有有效的资质证书（见招标公告要求）。</w:t>
            </w:r>
          </w:p>
        </w:tc>
      </w:tr>
    </w:tbl>
    <w:p w14:paraId="29C8F36C">
      <w:pPr>
        <w:pStyle w:val="197"/>
        <w:adjustRightInd w:val="0"/>
        <w:snapToGrid w:val="0"/>
        <w:spacing w:line="300" w:lineRule="exact"/>
        <w:rPr>
          <w:rFonts w:ascii="宋体" w:hAnsi="宋体" w:cs="宋体"/>
          <w:bCs/>
          <w:color w:val="auto"/>
          <w:kern w:val="0"/>
          <w:szCs w:val="21"/>
          <w:highlight w:val="none"/>
        </w:rPr>
      </w:pPr>
      <w:r>
        <w:rPr>
          <w:rFonts w:hint="eastAsia" w:ascii="宋体" w:hAnsi="宋体" w:cs="宋体"/>
          <w:b/>
          <w:color w:val="auto"/>
          <w:szCs w:val="21"/>
          <w:highlight w:val="none"/>
        </w:rPr>
        <w:t xml:space="preserve"> </w:t>
      </w:r>
      <w:r>
        <w:rPr>
          <w:rFonts w:hint="eastAsia" w:ascii="宋体" w:hAnsi="宋体" w:cs="宋体"/>
          <w:bCs/>
          <w:color w:val="auto"/>
          <w:kern w:val="0"/>
          <w:szCs w:val="21"/>
          <w:highlight w:val="none"/>
        </w:rPr>
        <w:t xml:space="preserve"> 注：投标人应提供营业执照、资质证书，纸质证照和电子证照皆可。</w:t>
      </w:r>
    </w:p>
    <w:p w14:paraId="7C5F5A73">
      <w:pPr>
        <w:pStyle w:val="197"/>
        <w:adjustRightInd w:val="0"/>
        <w:snapToGrid w:val="0"/>
        <w:spacing w:line="300" w:lineRule="exact"/>
        <w:rPr>
          <w:rFonts w:ascii="宋体" w:hAnsi="宋体" w:cs="宋体"/>
          <w:bCs/>
          <w:color w:val="auto"/>
          <w:kern w:val="0"/>
          <w:szCs w:val="21"/>
          <w:highlight w:val="none"/>
        </w:rPr>
      </w:pPr>
    </w:p>
    <w:p w14:paraId="5DCCAE3E">
      <w:pPr>
        <w:pStyle w:val="3"/>
        <w:jc w:val="center"/>
        <w:rPr>
          <w:rFonts w:ascii="宋体" w:hAnsi="宋体" w:cs="宋体"/>
          <w:b w:val="0"/>
          <w:color w:val="auto"/>
          <w:highlight w:val="none"/>
        </w:rPr>
      </w:pPr>
      <w:bookmarkStart w:id="28" w:name="_Toc30036"/>
      <w:bookmarkStart w:id="29" w:name="_Toc19536"/>
      <w:bookmarkStart w:id="30" w:name="_Toc421916977"/>
      <w:bookmarkStart w:id="31" w:name="_Toc460660064"/>
      <w:bookmarkStart w:id="32" w:name="_Toc38879318"/>
      <w:bookmarkStart w:id="33" w:name="_Toc460226991"/>
      <w:bookmarkStart w:id="34" w:name="_Toc460226722"/>
      <w:bookmarkStart w:id="35" w:name="_Toc283798418"/>
      <w:bookmarkStart w:id="36" w:name="_Toc11078139"/>
      <w:r>
        <w:rPr>
          <w:rFonts w:hint="eastAsia" w:ascii="宋体" w:hAnsi="宋体" w:cs="宋体"/>
          <w:b w:val="0"/>
          <w:color w:val="auto"/>
          <w:highlight w:val="none"/>
        </w:rPr>
        <w:t>附录2  资格审查条件(业绩最低要求)</w:t>
      </w:r>
      <w:bookmarkEnd w:id="28"/>
      <w:bookmarkEnd w:id="29"/>
      <w:bookmarkEnd w:id="30"/>
      <w:bookmarkEnd w:id="31"/>
      <w:bookmarkEnd w:id="32"/>
      <w:bookmarkEnd w:id="33"/>
      <w:bookmarkEnd w:id="34"/>
      <w:bookmarkEnd w:id="35"/>
      <w:bookmarkEnd w:id="36"/>
    </w:p>
    <w:tbl>
      <w:tblPr>
        <w:tblStyle w:val="54"/>
        <w:tblW w:w="44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5"/>
      </w:tblGrid>
      <w:tr w14:paraId="75DE1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14:paraId="3660C3A8">
            <w:pPr>
              <w:pStyle w:val="197"/>
              <w:adjustRightInd w:val="0"/>
              <w:snapToGrid w:val="0"/>
              <w:jc w:val="center"/>
              <w:rPr>
                <w:rFonts w:ascii="宋体" w:hAnsi="宋体" w:cs="宋体"/>
                <w:b/>
                <w:bCs/>
                <w:color w:val="auto"/>
                <w:szCs w:val="21"/>
                <w:highlight w:val="none"/>
              </w:rPr>
            </w:pPr>
            <w:r>
              <w:rPr>
                <w:rFonts w:hint="eastAsia" w:ascii="宋体" w:hAnsi="宋体" w:cs="宋体"/>
                <w:b/>
                <w:bCs/>
                <w:color w:val="auto"/>
                <w:szCs w:val="21"/>
                <w:highlight w:val="none"/>
              </w:rPr>
              <w:t>投标人业绩要求</w:t>
            </w:r>
          </w:p>
        </w:tc>
      </w:tr>
      <w:tr w14:paraId="55DFD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14:paraId="13379902">
            <w:pPr>
              <w:adjustRightInd w:val="0"/>
              <w:snapToGrid w:val="0"/>
              <w:spacing w:line="400" w:lineRule="exact"/>
              <w:jc w:val="center"/>
              <w:rPr>
                <w:rFonts w:hint="default" w:hAnsi="宋体" w:eastAsia="宋体" w:cs="宋体"/>
                <w:bCs/>
                <w:color w:val="auto"/>
                <w:szCs w:val="21"/>
                <w:highlight w:val="none"/>
                <w:lang w:val="en-US" w:eastAsia="zh-CN"/>
              </w:rPr>
            </w:pPr>
            <w:r>
              <w:rPr>
                <w:rFonts w:hint="eastAsia" w:hAnsi="宋体" w:cs="宋体"/>
                <w:b/>
                <w:color w:val="auto"/>
                <w:szCs w:val="21"/>
                <w:highlight w:val="none"/>
                <w:lang w:val="en-US" w:eastAsia="zh-CN"/>
              </w:rPr>
              <w:t>见招标公告要求</w:t>
            </w:r>
          </w:p>
        </w:tc>
      </w:tr>
    </w:tbl>
    <w:p w14:paraId="5FF0A60B">
      <w:pPr>
        <w:adjustRightInd w:val="0"/>
        <w:snapToGrid w:val="0"/>
        <w:spacing w:line="480" w:lineRule="auto"/>
        <w:ind w:firstLine="723" w:firstLineChars="300"/>
        <w:rPr>
          <w:rFonts w:hAnsi="宋体" w:cs="宋体"/>
          <w:b/>
          <w:bCs/>
          <w:color w:val="auto"/>
          <w:szCs w:val="21"/>
          <w:highlight w:val="none"/>
        </w:rPr>
      </w:pPr>
      <w:r>
        <w:rPr>
          <w:rFonts w:hint="eastAsia" w:hAnsi="宋体" w:cs="宋体"/>
          <w:b/>
          <w:bCs/>
          <w:color w:val="auto"/>
          <w:szCs w:val="21"/>
          <w:highlight w:val="none"/>
        </w:rPr>
        <w:t>注：1. 投标人应按下列规定提供业绩证明资料：招标公告要求</w:t>
      </w:r>
    </w:p>
    <w:p w14:paraId="489898B5">
      <w:pPr>
        <w:pStyle w:val="3"/>
        <w:jc w:val="center"/>
        <w:rPr>
          <w:rFonts w:ascii="宋体" w:hAnsi="宋体" w:cs="宋体"/>
          <w:b w:val="0"/>
          <w:color w:val="auto"/>
          <w:highlight w:val="none"/>
        </w:rPr>
      </w:pPr>
      <w:bookmarkStart w:id="37" w:name="_Toc29507"/>
      <w:bookmarkStart w:id="38" w:name="_Toc11078140"/>
      <w:bookmarkStart w:id="39" w:name="_Toc38879319"/>
      <w:bookmarkStart w:id="40" w:name="_Toc1107"/>
      <w:r>
        <w:rPr>
          <w:rFonts w:hint="eastAsia" w:ascii="宋体" w:hAnsi="宋体" w:cs="宋体"/>
          <w:b w:val="0"/>
          <w:color w:val="auto"/>
          <w:highlight w:val="none"/>
        </w:rPr>
        <w:t>附录3  资格审查条件(信誉最低要求)</w:t>
      </w:r>
      <w:bookmarkEnd w:id="37"/>
      <w:bookmarkEnd w:id="38"/>
      <w:bookmarkEnd w:id="39"/>
      <w:bookmarkEnd w:id="40"/>
    </w:p>
    <w:tbl>
      <w:tblPr>
        <w:tblStyle w:val="54"/>
        <w:tblW w:w="44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5"/>
      </w:tblGrid>
      <w:tr w14:paraId="3DFE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14:paraId="4BD1C3FF">
            <w:pPr>
              <w:pStyle w:val="197"/>
              <w:adjustRightInd w:val="0"/>
              <w:snapToGrid w:val="0"/>
              <w:jc w:val="center"/>
              <w:rPr>
                <w:rFonts w:ascii="宋体" w:hAnsi="宋体" w:cs="宋体"/>
                <w:b/>
                <w:bCs/>
                <w:color w:val="auto"/>
                <w:szCs w:val="21"/>
                <w:highlight w:val="none"/>
              </w:rPr>
            </w:pPr>
            <w:r>
              <w:rPr>
                <w:rFonts w:hint="eastAsia" w:ascii="宋体" w:hAnsi="宋体" w:cs="宋体"/>
                <w:b/>
                <w:bCs/>
                <w:color w:val="auto"/>
                <w:szCs w:val="21"/>
                <w:highlight w:val="none"/>
              </w:rPr>
              <w:t>信誉要求</w:t>
            </w:r>
          </w:p>
        </w:tc>
      </w:tr>
      <w:tr w14:paraId="68178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5000" w:type="pct"/>
            <w:tcBorders>
              <w:top w:val="single" w:color="auto" w:sz="4" w:space="0"/>
              <w:left w:val="single" w:color="auto" w:sz="4" w:space="0"/>
              <w:bottom w:val="single" w:color="auto" w:sz="4" w:space="0"/>
              <w:right w:val="single" w:color="auto" w:sz="4" w:space="0"/>
            </w:tcBorders>
            <w:vAlign w:val="center"/>
          </w:tcPr>
          <w:p w14:paraId="038EA07C">
            <w:pPr>
              <w:spacing w:line="360" w:lineRule="auto"/>
              <w:ind w:firstLine="480" w:firstLineChars="200"/>
              <w:jc w:val="center"/>
              <w:rPr>
                <w:rFonts w:hAnsi="宋体" w:cs="宋体"/>
                <w:bCs/>
                <w:color w:val="auto"/>
                <w:szCs w:val="21"/>
                <w:highlight w:val="none"/>
                <w:u w:val="single"/>
              </w:rPr>
            </w:pPr>
            <w:r>
              <w:rPr>
                <w:rFonts w:hint="eastAsia" w:hAnsi="宋体" w:cs="宋体"/>
                <w:bCs/>
                <w:color w:val="auto"/>
                <w:szCs w:val="21"/>
                <w:highlight w:val="none"/>
              </w:rPr>
              <w:t>无</w:t>
            </w:r>
          </w:p>
        </w:tc>
      </w:tr>
    </w:tbl>
    <w:p w14:paraId="703EC860">
      <w:pPr>
        <w:pStyle w:val="26"/>
        <w:rPr>
          <w:rFonts w:ascii="宋体" w:hAnsi="宋体" w:cs="宋体"/>
          <w:i w:val="0"/>
          <w:iCs w:val="0"/>
          <w:color w:val="auto"/>
          <w:sz w:val="21"/>
          <w:szCs w:val="21"/>
          <w:highlight w:val="none"/>
        </w:rPr>
      </w:pPr>
    </w:p>
    <w:p w14:paraId="69B16746">
      <w:pPr>
        <w:pStyle w:val="26"/>
        <w:rPr>
          <w:rFonts w:ascii="宋体" w:hAnsi="宋体" w:cs="宋体"/>
          <w:i w:val="0"/>
          <w:iCs w:val="0"/>
          <w:color w:val="auto"/>
          <w:sz w:val="21"/>
          <w:szCs w:val="21"/>
          <w:highlight w:val="none"/>
        </w:rPr>
      </w:pPr>
      <w:r>
        <w:rPr>
          <w:rFonts w:hint="eastAsia" w:ascii="宋体" w:hAnsi="宋体" w:cs="宋体"/>
          <w:i w:val="0"/>
          <w:iCs w:val="0"/>
          <w:color w:val="auto"/>
          <w:sz w:val="21"/>
          <w:szCs w:val="21"/>
          <w:highlight w:val="none"/>
        </w:rPr>
        <w:t>注：投标人在投标函中承诺，不需要提供相关证明材料。如投标人承诺与实际不符，</w:t>
      </w:r>
    </w:p>
    <w:p w14:paraId="77391A0E">
      <w:pPr>
        <w:pStyle w:val="26"/>
        <w:rPr>
          <w:rFonts w:ascii="宋体" w:hAnsi="宋体" w:cs="宋体"/>
          <w:color w:val="auto"/>
          <w:szCs w:val="21"/>
          <w:highlight w:val="none"/>
        </w:rPr>
      </w:pPr>
      <w:r>
        <w:rPr>
          <w:rFonts w:hint="eastAsia" w:ascii="宋体" w:hAnsi="宋体" w:cs="宋体"/>
          <w:i w:val="0"/>
          <w:iCs w:val="0"/>
          <w:color w:val="auto"/>
          <w:sz w:val="21"/>
          <w:szCs w:val="21"/>
          <w:highlight w:val="none"/>
        </w:rPr>
        <w:t>招标人有权取消其中标（或中标候选）资格</w:t>
      </w:r>
      <w:r>
        <w:rPr>
          <w:rFonts w:hint="eastAsia" w:ascii="宋体" w:hAnsi="宋体" w:cs="宋体"/>
          <w:b/>
          <w:bCs/>
          <w:i w:val="0"/>
          <w:iCs w:val="0"/>
          <w:color w:val="auto"/>
          <w:sz w:val="21"/>
          <w:szCs w:val="21"/>
          <w:highlight w:val="none"/>
        </w:rPr>
        <w:t>，若已经签订合同，则招标人有权解除合同，</w:t>
      </w:r>
      <w:r>
        <w:rPr>
          <w:rFonts w:hint="eastAsia" w:ascii="宋体" w:hAnsi="宋体" w:cs="宋体"/>
          <w:i w:val="0"/>
          <w:iCs w:val="0"/>
          <w:color w:val="auto"/>
          <w:sz w:val="21"/>
          <w:szCs w:val="21"/>
          <w:highlight w:val="none"/>
        </w:rPr>
        <w:t>并将报监管部门处理。</w:t>
      </w:r>
    </w:p>
    <w:p w14:paraId="2F50F41D">
      <w:pPr>
        <w:pStyle w:val="3"/>
        <w:jc w:val="center"/>
        <w:rPr>
          <w:rFonts w:ascii="宋体" w:hAnsi="宋体" w:cs="宋体"/>
          <w:color w:val="auto"/>
          <w:highlight w:val="none"/>
        </w:rPr>
      </w:pPr>
      <w:bookmarkStart w:id="41" w:name="_Toc26041"/>
      <w:bookmarkStart w:id="42" w:name="_Toc30605"/>
      <w:r>
        <w:rPr>
          <w:rFonts w:hint="eastAsia" w:ascii="宋体" w:hAnsi="宋体" w:cs="宋体"/>
          <w:b w:val="0"/>
          <w:color w:val="auto"/>
          <w:highlight w:val="none"/>
        </w:rPr>
        <w:t>附录4  资格审查条件（项目经理最低要求）</w:t>
      </w:r>
      <w:bookmarkEnd w:id="41"/>
      <w:bookmarkEnd w:id="42"/>
    </w:p>
    <w:tbl>
      <w:tblPr>
        <w:tblStyle w:val="54"/>
        <w:tblW w:w="44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5"/>
        <w:gridCol w:w="6503"/>
      </w:tblGrid>
      <w:tr w14:paraId="47F50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6" w:hRule="atLeast"/>
          <w:jc w:val="center"/>
        </w:trPr>
        <w:tc>
          <w:tcPr>
            <w:tcW w:w="1329" w:type="pct"/>
            <w:tcBorders>
              <w:top w:val="single" w:color="auto" w:sz="4" w:space="0"/>
              <w:left w:val="single" w:color="auto" w:sz="4" w:space="0"/>
              <w:bottom w:val="single" w:color="auto" w:sz="4" w:space="0"/>
              <w:right w:val="single" w:color="auto" w:sz="4" w:space="0"/>
            </w:tcBorders>
            <w:vAlign w:val="center"/>
          </w:tcPr>
          <w:p w14:paraId="5B0A5AD6">
            <w:pPr>
              <w:pStyle w:val="197"/>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人  员</w:t>
            </w:r>
          </w:p>
        </w:tc>
        <w:tc>
          <w:tcPr>
            <w:tcW w:w="3670" w:type="pct"/>
            <w:tcBorders>
              <w:top w:val="single" w:color="auto" w:sz="4" w:space="0"/>
              <w:left w:val="single" w:color="auto" w:sz="4" w:space="0"/>
              <w:bottom w:val="single" w:color="auto" w:sz="4" w:space="0"/>
              <w:right w:val="single" w:color="auto" w:sz="4" w:space="0"/>
            </w:tcBorders>
            <w:vAlign w:val="center"/>
          </w:tcPr>
          <w:p w14:paraId="6A595BDD">
            <w:pPr>
              <w:pStyle w:val="197"/>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资格要求</w:t>
            </w:r>
          </w:p>
        </w:tc>
      </w:tr>
      <w:tr w14:paraId="5D9A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329" w:type="pct"/>
            <w:tcBorders>
              <w:top w:val="single" w:color="auto" w:sz="4" w:space="0"/>
              <w:left w:val="single" w:color="auto" w:sz="4" w:space="0"/>
              <w:bottom w:val="single" w:color="auto" w:sz="4" w:space="0"/>
              <w:right w:val="single" w:color="auto" w:sz="4" w:space="0"/>
            </w:tcBorders>
            <w:vAlign w:val="center"/>
          </w:tcPr>
          <w:p w14:paraId="760E9658">
            <w:pPr>
              <w:pStyle w:val="197"/>
              <w:widowControl/>
              <w:adjustRightInd w:val="0"/>
              <w:snapToGrid w:val="0"/>
              <w:spacing w:line="360" w:lineRule="auto"/>
              <w:jc w:val="center"/>
              <w:rPr>
                <w:rFonts w:ascii="宋体" w:hAnsi="宋体" w:cs="宋体"/>
                <w:bCs/>
                <w:color w:val="auto"/>
                <w:kern w:val="0"/>
                <w:szCs w:val="21"/>
                <w:highlight w:val="none"/>
              </w:rPr>
            </w:pPr>
            <w:r>
              <w:rPr>
                <w:rFonts w:hint="eastAsia" w:ascii="宋体" w:hAnsi="宋体" w:cs="宋体"/>
                <w:bCs/>
                <w:color w:val="auto"/>
                <w:kern w:val="0"/>
                <w:szCs w:val="21"/>
                <w:highlight w:val="none"/>
              </w:rPr>
              <w:t>项目负责人</w:t>
            </w:r>
          </w:p>
        </w:tc>
        <w:tc>
          <w:tcPr>
            <w:tcW w:w="3670" w:type="pct"/>
            <w:tcBorders>
              <w:top w:val="single" w:color="auto" w:sz="4" w:space="0"/>
              <w:left w:val="single" w:color="auto" w:sz="4" w:space="0"/>
              <w:bottom w:val="single" w:color="auto" w:sz="4" w:space="0"/>
              <w:right w:val="single" w:color="auto" w:sz="4" w:space="0"/>
            </w:tcBorders>
            <w:vAlign w:val="center"/>
          </w:tcPr>
          <w:p w14:paraId="4096551D">
            <w:pPr>
              <w:pStyle w:val="197"/>
              <w:widowControl/>
              <w:numPr>
                <w:ilvl w:val="0"/>
                <w:numId w:val="0"/>
              </w:numPr>
              <w:adjustRightInd w:val="0"/>
              <w:snapToGrid w:val="0"/>
              <w:spacing w:line="360" w:lineRule="auto"/>
              <w:jc w:val="left"/>
              <w:rPr>
                <w:rFonts w:hint="default" w:hAnsi="宋体" w:cs="宋体"/>
                <w:bCs/>
                <w:color w:val="auto"/>
                <w:szCs w:val="21"/>
                <w:highlight w:val="none"/>
                <w:lang w:val="en-US"/>
              </w:rPr>
            </w:pPr>
            <w:r>
              <w:rPr>
                <w:rFonts w:hint="eastAsia" w:ascii="宋体" w:hAnsi="宋体" w:cs="宋体"/>
                <w:bCs/>
                <w:color w:val="auto"/>
                <w:kern w:val="0"/>
                <w:szCs w:val="21"/>
                <w:highlight w:val="none"/>
                <w:lang w:val="en-US" w:eastAsia="zh-CN"/>
              </w:rPr>
              <w:t>无</w:t>
            </w:r>
          </w:p>
        </w:tc>
      </w:tr>
    </w:tbl>
    <w:p w14:paraId="20EE548B">
      <w:pPr>
        <w:pStyle w:val="197"/>
        <w:adjustRightInd w:val="0"/>
        <w:snapToGrid w:val="0"/>
        <w:spacing w:line="384" w:lineRule="auto"/>
        <w:jc w:val="left"/>
        <w:rPr>
          <w:rFonts w:ascii="宋体" w:hAnsi="宋体" w:cs="宋体"/>
          <w:bCs/>
          <w:color w:val="auto"/>
          <w:kern w:val="0"/>
          <w:szCs w:val="21"/>
          <w:highlight w:val="none"/>
        </w:rPr>
      </w:pPr>
    </w:p>
    <w:p w14:paraId="16D6BE9B">
      <w:pPr>
        <w:pStyle w:val="53"/>
        <w:ind w:left="480" w:firstLine="400"/>
        <w:rPr>
          <w:color w:val="auto"/>
          <w:highlight w:val="none"/>
        </w:rPr>
      </w:pPr>
    </w:p>
    <w:p w14:paraId="425BA18E">
      <w:pPr>
        <w:rPr>
          <w:rFonts w:hAnsi="宋体" w:cs="宋体"/>
          <w:color w:val="auto"/>
          <w:highlight w:val="none"/>
        </w:rPr>
      </w:pPr>
    </w:p>
    <w:p w14:paraId="13C95599">
      <w:pPr>
        <w:widowControl/>
        <w:jc w:val="left"/>
        <w:rPr>
          <w:rFonts w:hAnsi="宋体" w:cs="宋体"/>
          <w:bCs/>
          <w:color w:val="auto"/>
          <w:kern w:val="2"/>
          <w:sz w:val="32"/>
          <w:szCs w:val="32"/>
          <w:highlight w:val="none"/>
        </w:rPr>
      </w:pPr>
      <w:r>
        <w:rPr>
          <w:rFonts w:hAnsi="宋体" w:cs="宋体"/>
          <w:b/>
          <w:color w:val="auto"/>
          <w:highlight w:val="none"/>
        </w:rPr>
        <w:br w:type="page"/>
      </w:r>
    </w:p>
    <w:p w14:paraId="070DC9DF">
      <w:pPr>
        <w:pStyle w:val="3"/>
        <w:snapToGrid w:val="0"/>
        <w:spacing w:line="240" w:lineRule="auto"/>
        <w:rPr>
          <w:rFonts w:hint="eastAsia"/>
          <w:color w:val="auto"/>
          <w:highlight w:val="none"/>
        </w:rPr>
      </w:pPr>
      <w:bookmarkStart w:id="43" w:name="_Toc8206"/>
      <w:r>
        <w:rPr>
          <w:rFonts w:hint="eastAsia"/>
          <w:color w:val="auto"/>
          <w:highlight w:val="none"/>
        </w:rPr>
        <w:t>1 总则</w:t>
      </w:r>
      <w:bookmarkEnd w:id="43"/>
      <w:r>
        <w:rPr>
          <w:rFonts w:hint="eastAsia"/>
          <w:color w:val="auto"/>
          <w:highlight w:val="none"/>
        </w:rPr>
        <w:tab/>
      </w:r>
    </w:p>
    <w:p w14:paraId="44F5B175">
      <w:pPr>
        <w:pStyle w:val="4"/>
        <w:snapToGrid w:val="0"/>
        <w:spacing w:line="240" w:lineRule="auto"/>
        <w:rPr>
          <w:rFonts w:hint="eastAsia"/>
          <w:color w:val="auto"/>
          <w:highlight w:val="none"/>
        </w:rPr>
      </w:pPr>
      <w:bookmarkStart w:id="44" w:name="_Toc398107838"/>
      <w:r>
        <w:rPr>
          <w:rFonts w:hint="eastAsia"/>
          <w:color w:val="auto"/>
          <w:highlight w:val="none"/>
        </w:rPr>
        <w:t>1.1 项目概况</w:t>
      </w:r>
      <w:bookmarkEnd w:id="44"/>
    </w:p>
    <w:p w14:paraId="58C4510A">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1.1.1 根据《中华人民共和国招标投标法》、《中华人民共和国招标投标法实施条例》等有关法律、法规和规章的规定，本招标项目已具备招标条件，现对本标段服务进行招标。</w:t>
      </w:r>
    </w:p>
    <w:p w14:paraId="7D8D1BEB">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1.1.2 本招标项目招标人：见投标人须知前附表。</w:t>
      </w:r>
    </w:p>
    <w:p w14:paraId="1BDCE295">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1.1.3 本标段招标代理机构：见投标人须知前附表。</w:t>
      </w:r>
    </w:p>
    <w:p w14:paraId="6AA1586B">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1.1.4 本招标项目名称：见投标人须知前附表。</w:t>
      </w:r>
    </w:p>
    <w:p w14:paraId="5986874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1.1.5 本标段建设地点：见投标人须知前附表。</w:t>
      </w:r>
    </w:p>
    <w:p w14:paraId="453A99FB">
      <w:pPr>
        <w:pStyle w:val="4"/>
        <w:snapToGrid w:val="0"/>
        <w:spacing w:line="240" w:lineRule="auto"/>
        <w:rPr>
          <w:rFonts w:hint="eastAsia"/>
          <w:color w:val="auto"/>
          <w:highlight w:val="none"/>
        </w:rPr>
      </w:pPr>
      <w:bookmarkStart w:id="45" w:name="_Toc398107839"/>
      <w:r>
        <w:rPr>
          <w:rFonts w:hint="eastAsia"/>
          <w:color w:val="auto"/>
          <w:highlight w:val="none"/>
        </w:rPr>
        <w:t>1.2 资金来源和落实情况</w:t>
      </w:r>
      <w:bookmarkEnd w:id="45"/>
    </w:p>
    <w:p w14:paraId="1106D95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1.2.1 本招标项目的资金来源：见投标人须知前附表。</w:t>
      </w:r>
    </w:p>
    <w:p w14:paraId="42B52B57">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1.2.2 本招标项目的出资比例：见投标人须知前附表。</w:t>
      </w:r>
    </w:p>
    <w:p w14:paraId="22FC09F0">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1.2.3 本招标项目的资金落实情况：见投标人须知前附表。</w:t>
      </w:r>
    </w:p>
    <w:p w14:paraId="51671852">
      <w:pPr>
        <w:pStyle w:val="4"/>
        <w:snapToGrid w:val="0"/>
        <w:spacing w:line="240" w:lineRule="auto"/>
        <w:rPr>
          <w:rFonts w:hint="eastAsia"/>
          <w:color w:val="auto"/>
          <w:highlight w:val="none"/>
        </w:rPr>
      </w:pPr>
      <w:bookmarkStart w:id="46" w:name="_Toc398107840"/>
      <w:r>
        <w:rPr>
          <w:rFonts w:hint="eastAsia"/>
          <w:color w:val="auto"/>
          <w:highlight w:val="none"/>
        </w:rPr>
        <w:t>1.3 招标范围、服务期限及质量要求</w:t>
      </w:r>
      <w:bookmarkEnd w:id="46"/>
    </w:p>
    <w:p w14:paraId="23C37EC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1.3.1 本次招标范围：见投标人须知前附表。</w:t>
      </w:r>
    </w:p>
    <w:p w14:paraId="6514224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1.3.2 本标段的设计服务期限：见投标人须知前附表。</w:t>
      </w:r>
    </w:p>
    <w:p w14:paraId="78563BBD">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1.3.3 本标段的质量要求：见投标人须知前附表。</w:t>
      </w:r>
    </w:p>
    <w:p w14:paraId="168991E3">
      <w:pPr>
        <w:pStyle w:val="4"/>
        <w:snapToGrid w:val="0"/>
        <w:spacing w:line="240" w:lineRule="auto"/>
        <w:rPr>
          <w:rFonts w:hint="eastAsia"/>
          <w:color w:val="auto"/>
          <w:highlight w:val="none"/>
        </w:rPr>
      </w:pPr>
      <w:bookmarkStart w:id="47" w:name="_Toc398107841"/>
      <w:r>
        <w:rPr>
          <w:rFonts w:hint="eastAsia"/>
          <w:color w:val="auto"/>
          <w:highlight w:val="none"/>
        </w:rPr>
        <w:t>1.4 投标人资格要求</w:t>
      </w:r>
      <w:bookmarkEnd w:id="47"/>
    </w:p>
    <w:p w14:paraId="145EB25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1.4.1 投标人应具备的资格要求见投标人须知前附表。</w:t>
      </w:r>
    </w:p>
    <w:p w14:paraId="11E7CFDA">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1.4.2 投标人须知前附表规定接受联合体投标的，除应符合本章第1.4.1项和投标人须知前附表的要求外，还应遵守以下规定：</w:t>
      </w:r>
    </w:p>
    <w:p w14:paraId="69ECC98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（1）联合体各方应按招标文件提供的格式签订联合体协议书，明确联合体牵头人和各方权利义务，并承诺就中标项目向招标人承担连带责任； </w:t>
      </w:r>
    </w:p>
    <w:p w14:paraId="384DAB75">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（2）由同一专业的单位组成的联合体，按照资质等级较低的单位确定资质等级；</w:t>
      </w:r>
    </w:p>
    <w:p w14:paraId="58371371">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（3）联合体各方不得再以自己名义单独或参加其他联合体在同一标段中投标。</w:t>
      </w:r>
    </w:p>
    <w:p w14:paraId="3DD6FF0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3A0C86A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（5）尽管委任了联合体牵头人，但联合体各成员在投标、签约与履行合同过程中，仍负有连带的和各自的法律责任。</w:t>
      </w:r>
    </w:p>
    <w:p w14:paraId="5901A9E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1.4.3 投标人不得存在下列情形之一：</w:t>
      </w:r>
    </w:p>
    <w:p w14:paraId="1701B18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（1）为招标人的附属机构（单位）； </w:t>
      </w:r>
    </w:p>
    <w:p w14:paraId="35FF47F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（2）为本标段提供招标代理服务的；</w:t>
      </w:r>
    </w:p>
    <w:p w14:paraId="45806AA8">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（3）与本标段的招标代理机构存在单位负责人为同一人的；</w:t>
      </w:r>
    </w:p>
    <w:p w14:paraId="371AEEB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（4）与本标段的招标代理机构存在相互控股或参股的；</w:t>
      </w:r>
    </w:p>
    <w:p w14:paraId="69BDEE4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（5）与本标段其他投标人存在单位负责人为同一人或者存在控股、管理关系的；</w:t>
      </w:r>
    </w:p>
    <w:p w14:paraId="7BD8D0A0">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w:t>
      </w:r>
      <w:r>
        <w:rPr>
          <w:rFonts w:hint="eastAsia" w:hAnsi="宋体" w:cs="宋体"/>
          <w:color w:val="auto"/>
          <w:szCs w:val="21"/>
          <w:highlight w:val="none"/>
          <w:shd w:val="clear" w:color="auto" w:fill="FFFFFF"/>
          <w:lang w:val="zh-CN"/>
        </w:rPr>
        <w:t>法律法规或投标人须知前附表规定的其他情形。</w:t>
      </w:r>
    </w:p>
    <w:p w14:paraId="5D76675E">
      <w:pPr>
        <w:tabs>
          <w:tab w:val="left" w:pos="3828"/>
        </w:tabs>
        <w:adjustRightInd w:val="0"/>
        <w:snapToGrid w:val="0"/>
        <w:spacing w:line="240" w:lineRule="auto"/>
        <w:ind w:firstLine="520"/>
        <w:rPr>
          <w:rFonts w:hint="eastAsia" w:hAnsi="宋体" w:cs="宋体"/>
          <w:color w:val="auto"/>
          <w:szCs w:val="21"/>
          <w:highlight w:val="none"/>
        </w:rPr>
      </w:pPr>
      <w:r>
        <w:rPr>
          <w:rFonts w:hint="eastAsia" w:hAnsi="宋体" w:cs="宋体"/>
          <w:bCs/>
          <w:color w:val="auto"/>
          <w:szCs w:val="21"/>
          <w:highlight w:val="none"/>
        </w:rPr>
        <w:t>1.4.4 投标人（包括联合体各成员）不得存在下列不良状况或不良信用记录：</w:t>
      </w:r>
    </w:p>
    <w:p w14:paraId="7A21751F">
      <w:pPr>
        <w:tabs>
          <w:tab w:val="left" w:pos="1011"/>
        </w:tabs>
        <w:adjustRightInd w:val="0"/>
        <w:snapToGrid w:val="0"/>
        <w:spacing w:line="240" w:lineRule="auto"/>
        <w:ind w:firstLine="480" w:firstLineChars="200"/>
        <w:rPr>
          <w:rFonts w:hint="eastAsia" w:hAnsi="宋体" w:cs="宋体"/>
          <w:color w:val="auto"/>
          <w:szCs w:val="21"/>
          <w:highlight w:val="none"/>
        </w:rPr>
      </w:pPr>
      <w:r>
        <w:rPr>
          <w:rFonts w:hint="eastAsia" w:hAnsi="宋体" w:cs="宋体"/>
          <w:bCs/>
          <w:color w:val="auto"/>
          <w:szCs w:val="21"/>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02377D56">
      <w:pPr>
        <w:tabs>
          <w:tab w:val="left" w:pos="1046"/>
        </w:tabs>
        <w:adjustRightInd w:val="0"/>
        <w:snapToGrid w:val="0"/>
        <w:spacing w:line="240" w:lineRule="auto"/>
        <w:ind w:firstLine="482" w:firstLineChars="200"/>
        <w:rPr>
          <w:rFonts w:hint="eastAsia" w:hAnsi="宋体" w:cs="宋体"/>
          <w:b/>
          <w:color w:val="auto"/>
          <w:szCs w:val="21"/>
          <w:highlight w:val="none"/>
        </w:rPr>
      </w:pPr>
      <w:r>
        <w:rPr>
          <w:rFonts w:hint="eastAsia" w:hAnsi="宋体" w:cs="宋体"/>
          <w:b/>
          <w:color w:val="auto"/>
          <w:szCs w:val="21"/>
          <w:highlight w:val="none"/>
        </w:rPr>
        <w:t>（2）在最近三年内（自投标截止之日向前追溯3年，下同）有重大工程质量事故或重大生产安全事故的（以相关行业主管部门的行政处罚决定或司法机关出具的有关法律文书为准）；</w:t>
      </w:r>
    </w:p>
    <w:p w14:paraId="2D594EAC">
      <w:pPr>
        <w:tabs>
          <w:tab w:val="left" w:pos="1046"/>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（3）被责令停业，暂扣或吊销执照，或吊销资质证书；</w:t>
      </w:r>
    </w:p>
    <w:p w14:paraId="75C6F596">
      <w:pPr>
        <w:tabs>
          <w:tab w:val="left" w:pos="1046"/>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（4）进入清算程序，或被宣告破产，或其他丧失履约能力的情形；</w:t>
      </w:r>
    </w:p>
    <w:p w14:paraId="59136E51">
      <w:pPr>
        <w:tabs>
          <w:tab w:val="left" w:pos="1009"/>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（5）在国家企业信用信息公示系统（http://www.gsxt.gov.cn/）中被列入严重违法失信企业名单；</w:t>
      </w:r>
    </w:p>
    <w:p w14:paraId="543D3C2D">
      <w:pPr>
        <w:tabs>
          <w:tab w:val="left" w:pos="1009"/>
        </w:tabs>
        <w:adjustRightInd w:val="0"/>
        <w:snapToGrid w:val="0"/>
        <w:spacing w:line="240" w:lineRule="auto"/>
        <w:ind w:firstLine="480" w:firstLineChars="200"/>
        <w:rPr>
          <w:rFonts w:hint="eastAsia" w:hAnsi="宋体" w:cs="宋体"/>
          <w:color w:val="auto"/>
          <w:szCs w:val="21"/>
          <w:highlight w:val="none"/>
        </w:rPr>
      </w:pPr>
      <w:r>
        <w:rPr>
          <w:rFonts w:hint="eastAsia" w:hAnsi="宋体" w:cs="宋体"/>
          <w:bCs/>
          <w:color w:val="auto"/>
          <w:szCs w:val="21"/>
          <w:highlight w:val="none"/>
        </w:rPr>
        <w:t>（6）在“信用中国”网站（http://www.creditchina.gov.cn/）中被列入失信被执行人名单；</w:t>
      </w:r>
    </w:p>
    <w:p w14:paraId="3F1DF69A">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（7）在“信用中国”网站（http://www.creditchina.gov.cn/）中被列入重大税收违法案件当事人名单；</w:t>
      </w:r>
    </w:p>
    <w:p w14:paraId="4DC26E84">
      <w:pPr>
        <w:tabs>
          <w:tab w:val="left" w:pos="1014"/>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（8）在近三年内投标人或其法定代表人、拟委任的项目负责人有行贿犯罪行为的；</w:t>
      </w:r>
    </w:p>
    <w:p w14:paraId="2E8ED75C">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（9）被人力资源社会保障行政部门列入拖欠农民工工资“失信名单”；</w:t>
      </w:r>
    </w:p>
    <w:p w14:paraId="109C702A">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color w:val="auto"/>
          <w:highlight w:val="none"/>
        </w:rPr>
        <w:t>（10）法律法规或投标人须知前附表规定的其他情形。</w:t>
      </w:r>
    </w:p>
    <w:p w14:paraId="1E495BF5">
      <w:pPr>
        <w:pStyle w:val="4"/>
        <w:snapToGrid w:val="0"/>
        <w:spacing w:line="240" w:lineRule="auto"/>
        <w:rPr>
          <w:rFonts w:hint="eastAsia"/>
          <w:color w:val="auto"/>
          <w:highlight w:val="none"/>
        </w:rPr>
      </w:pPr>
      <w:bookmarkStart w:id="48" w:name="_Toc398107842"/>
      <w:r>
        <w:rPr>
          <w:rFonts w:hint="eastAsia"/>
          <w:color w:val="auto"/>
          <w:highlight w:val="none"/>
        </w:rPr>
        <w:t>1.5 费用承担</w:t>
      </w:r>
      <w:bookmarkEnd w:id="48"/>
    </w:p>
    <w:p w14:paraId="21548F47">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投标人准备和参加投标活动发生的费用自理。</w:t>
      </w:r>
    </w:p>
    <w:p w14:paraId="7997A7C5">
      <w:pPr>
        <w:pStyle w:val="4"/>
        <w:snapToGrid w:val="0"/>
        <w:spacing w:line="240" w:lineRule="auto"/>
        <w:rPr>
          <w:rFonts w:hint="eastAsia"/>
          <w:color w:val="auto"/>
          <w:highlight w:val="none"/>
        </w:rPr>
      </w:pPr>
      <w:bookmarkStart w:id="49" w:name="_Toc398107843"/>
      <w:r>
        <w:rPr>
          <w:rFonts w:hint="eastAsia"/>
          <w:color w:val="auto"/>
          <w:highlight w:val="none"/>
        </w:rPr>
        <w:t>1.6 保密</w:t>
      </w:r>
      <w:bookmarkEnd w:id="49"/>
    </w:p>
    <w:p w14:paraId="0EFB8AB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参与招标投标活动的各方应对招标文件和投标文件中的商业和技术等秘密保密，违者应对由此造成的后果承担法律责任。</w:t>
      </w:r>
    </w:p>
    <w:p w14:paraId="01712C5B">
      <w:pPr>
        <w:pStyle w:val="4"/>
        <w:snapToGrid w:val="0"/>
        <w:spacing w:line="240" w:lineRule="auto"/>
        <w:rPr>
          <w:rFonts w:hint="eastAsia"/>
          <w:color w:val="auto"/>
          <w:highlight w:val="none"/>
        </w:rPr>
      </w:pPr>
      <w:bookmarkStart w:id="50" w:name="_Toc398107844"/>
      <w:r>
        <w:rPr>
          <w:rFonts w:hint="eastAsia"/>
          <w:color w:val="auto"/>
          <w:highlight w:val="none"/>
        </w:rPr>
        <w:t>1.7 语言文字</w:t>
      </w:r>
      <w:bookmarkEnd w:id="50"/>
    </w:p>
    <w:p w14:paraId="17E37E7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除专用术语外，与招标投标有关的语言均使用简体中文。必要时专用术语应附有中文注释。</w:t>
      </w:r>
    </w:p>
    <w:p w14:paraId="7D23C9CE">
      <w:pPr>
        <w:pStyle w:val="4"/>
        <w:snapToGrid w:val="0"/>
        <w:spacing w:line="240" w:lineRule="auto"/>
        <w:rPr>
          <w:rFonts w:hint="eastAsia"/>
          <w:color w:val="auto"/>
          <w:highlight w:val="none"/>
        </w:rPr>
      </w:pPr>
      <w:bookmarkStart w:id="51" w:name="_Toc398107845"/>
      <w:r>
        <w:rPr>
          <w:rFonts w:hint="eastAsia"/>
          <w:color w:val="auto"/>
          <w:highlight w:val="none"/>
        </w:rPr>
        <w:t>1.8 计量单位</w:t>
      </w:r>
      <w:bookmarkEnd w:id="51"/>
    </w:p>
    <w:p w14:paraId="7FB6DA5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所有计量均采用中华人民共和国法定计量单位。</w:t>
      </w:r>
    </w:p>
    <w:p w14:paraId="5B419528">
      <w:pPr>
        <w:pStyle w:val="4"/>
        <w:snapToGrid w:val="0"/>
        <w:spacing w:line="240" w:lineRule="auto"/>
        <w:rPr>
          <w:rFonts w:hint="eastAsia"/>
          <w:color w:val="auto"/>
          <w:highlight w:val="none"/>
        </w:rPr>
      </w:pPr>
      <w:bookmarkStart w:id="52" w:name="_Toc398107846"/>
      <w:r>
        <w:rPr>
          <w:rFonts w:hint="eastAsia"/>
          <w:color w:val="auto"/>
          <w:highlight w:val="none"/>
        </w:rPr>
        <w:t>1.9 踏勘现场</w:t>
      </w:r>
      <w:bookmarkEnd w:id="52"/>
    </w:p>
    <w:p w14:paraId="36665ECD">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1.9.1</w:t>
      </w:r>
      <w:r>
        <w:rPr>
          <w:rFonts w:hint="eastAsia" w:hAnsi="宋体" w:cs="宋体"/>
          <w:color w:val="auto"/>
          <w:highlight w:val="none"/>
        </w:rPr>
        <w:t>投标人须知前附表规定组织踏勘现场的，招标人按投标人须知前附表规定的时间、地点组织投标人踏勘项目现场。</w:t>
      </w:r>
      <w:r>
        <w:rPr>
          <w:rFonts w:hint="eastAsia" w:hAnsi="宋体" w:cs="宋体"/>
          <w:bCs/>
          <w:color w:val="auto"/>
          <w:szCs w:val="21"/>
          <w:highlight w:val="none"/>
        </w:rPr>
        <w:t>部分投标人未按时参加踏勘现场的，不影响踏勘现场的正常进行。招标人不得组织单个或部分投标人踏勘项目现场。</w:t>
      </w:r>
    </w:p>
    <w:p w14:paraId="2A1F5248">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1.9.2 投标人踏勘现场发生的费用自理。</w:t>
      </w:r>
    </w:p>
    <w:p w14:paraId="4489048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1.9.3 除招标人的原因外，投标人自行负责在踏勘现场中所发生的人员伤亡和财产损失。</w:t>
      </w:r>
    </w:p>
    <w:p w14:paraId="4AE0FC58">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1.9.4 招标人向投标人提供的有关施工现场的资料和数据是招标人现有的能使投标人利用的资料。招标人对投标人由此而做出的推论、理解和结论概不负责。</w:t>
      </w:r>
    </w:p>
    <w:p w14:paraId="2EEBE027">
      <w:pPr>
        <w:autoSpaceDE w:val="0"/>
        <w:autoSpaceDN w:val="0"/>
        <w:adjustRightInd w:val="0"/>
        <w:snapToGrid w:val="0"/>
        <w:spacing w:line="240" w:lineRule="auto"/>
        <w:ind w:firstLine="482" w:firstLineChars="200"/>
        <w:jc w:val="left"/>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1.9.5 无论投标人是否到施工现场实地踏勘，中标后签订合同时和履约过程中，投标人不得以不完全了解现场情况等为由，提出任何形式的增加设计费或索赔的要求。</w:t>
      </w:r>
    </w:p>
    <w:p w14:paraId="60EE0802">
      <w:pPr>
        <w:pStyle w:val="4"/>
        <w:snapToGrid w:val="0"/>
        <w:spacing w:line="240" w:lineRule="auto"/>
        <w:rPr>
          <w:rFonts w:hint="eastAsia"/>
          <w:color w:val="auto"/>
          <w:highlight w:val="none"/>
        </w:rPr>
      </w:pPr>
      <w:bookmarkStart w:id="53" w:name="_Toc398107847"/>
      <w:r>
        <w:rPr>
          <w:rFonts w:hint="eastAsia"/>
          <w:color w:val="auto"/>
          <w:highlight w:val="none"/>
        </w:rPr>
        <w:t>1.10 投标预备会</w:t>
      </w:r>
      <w:bookmarkEnd w:id="53"/>
    </w:p>
    <w:p w14:paraId="26DF4F68">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1.10.1 </w:t>
      </w:r>
      <w:r>
        <w:rPr>
          <w:rFonts w:hint="eastAsia" w:hAnsi="宋体" w:cs="宋体"/>
          <w:color w:val="auto"/>
          <w:highlight w:val="none"/>
        </w:rPr>
        <w:t>投标人须知前附表规定召开投标预备会的，招标人按投标人须知前附表规定的时间和地点召开投标预备会，澄清投标人提出的问题。</w:t>
      </w:r>
    </w:p>
    <w:p w14:paraId="56E8F56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1.10.2 投标人应在投标人须知前附表规定的时间前，以书面形式将提出的问题送达招标人，以便招标人在会议期间澄清。</w:t>
      </w:r>
    </w:p>
    <w:p w14:paraId="06E1380E">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1.10.3 投标预备会后，招标人在投标人须知前附表规定的时间内，将对投标人所提问题的澄清，以书面方式通知所有购买招标文件的投标人。该澄清内容为招标文件的组成部分。</w:t>
      </w:r>
    </w:p>
    <w:p w14:paraId="119C246A">
      <w:pPr>
        <w:pStyle w:val="4"/>
        <w:snapToGrid w:val="0"/>
        <w:spacing w:line="240" w:lineRule="auto"/>
        <w:rPr>
          <w:rFonts w:hint="eastAsia"/>
          <w:color w:val="auto"/>
          <w:highlight w:val="none"/>
        </w:rPr>
      </w:pPr>
      <w:bookmarkStart w:id="54" w:name="_Toc179632559"/>
      <w:r>
        <w:rPr>
          <w:rFonts w:hint="eastAsia"/>
          <w:color w:val="auto"/>
          <w:highlight w:val="none"/>
        </w:rPr>
        <w:t>1.11 响应和偏离</w:t>
      </w:r>
      <w:bookmarkEnd w:id="54"/>
    </w:p>
    <w:p w14:paraId="05446639">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1.11.1 投标文件偏离招标文件某些要求，视为投标文件存在偏差。偏差包括重大偏差和细微偏差。</w:t>
      </w:r>
    </w:p>
    <w:p w14:paraId="616CB612">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1.11.2 投标文件应对招标文件的实质性要求和条件作出满足性或更有利于招标人的响应，否则，视为投标文件存在重大偏差，投标人的投标将被否决。</w:t>
      </w:r>
    </w:p>
    <w:p w14:paraId="1F592F8B">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投标文件存在第三章“评标办法”中所列任一否决投标情形的，均属于存在重大偏差。</w:t>
      </w:r>
    </w:p>
    <w:p w14:paraId="025EF233">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1.11.3 投标文件中的下列偏差为细微偏差：</w:t>
      </w:r>
    </w:p>
    <w:p w14:paraId="12DA4028">
      <w:pPr>
        <w:tabs>
          <w:tab w:val="left" w:pos="1014"/>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5E060959">
      <w:pPr>
        <w:tabs>
          <w:tab w:val="left" w:pos="1014"/>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（2）投标文件个别文字有遗漏错误等不影响投标文件实质性内容的偏差。</w:t>
      </w:r>
    </w:p>
    <w:p w14:paraId="5683BEA5">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 xml:space="preserve">1.11.4 评标委员会对投标文件中的细微偏差按如下规定处理： </w:t>
      </w:r>
    </w:p>
    <w:p w14:paraId="4B9D64A4">
      <w:pPr>
        <w:tabs>
          <w:tab w:val="left" w:pos="1011"/>
        </w:tabs>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（1）对于本章第1.11.3项（1）目所述的细微偏差，按照第三章“评标办法”的规定予以修正并要求投标人进行澄清；</w:t>
      </w:r>
    </w:p>
    <w:p w14:paraId="70233C21">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（2）对于本章第1.11.3项（2）目所述的细微偏差，可要求投标人对细微偏差进行澄清。</w:t>
      </w:r>
    </w:p>
    <w:p w14:paraId="4A6B908F">
      <w:pPr>
        <w:pStyle w:val="3"/>
        <w:snapToGrid w:val="0"/>
        <w:spacing w:line="240" w:lineRule="auto"/>
        <w:rPr>
          <w:rFonts w:hint="eastAsia"/>
          <w:color w:val="auto"/>
          <w:highlight w:val="none"/>
        </w:rPr>
      </w:pPr>
      <w:bookmarkStart w:id="55" w:name="_Toc398107848"/>
      <w:bookmarkStart w:id="56" w:name="_Toc5270"/>
      <w:r>
        <w:rPr>
          <w:rFonts w:hint="eastAsia"/>
          <w:color w:val="auto"/>
          <w:highlight w:val="none"/>
        </w:rPr>
        <w:t>2  招标文件</w:t>
      </w:r>
      <w:bookmarkEnd w:id="55"/>
      <w:bookmarkEnd w:id="56"/>
    </w:p>
    <w:p w14:paraId="36D0E089">
      <w:pPr>
        <w:pStyle w:val="4"/>
        <w:snapToGrid w:val="0"/>
        <w:spacing w:line="240" w:lineRule="auto"/>
        <w:rPr>
          <w:rFonts w:hint="eastAsia"/>
          <w:color w:val="auto"/>
          <w:highlight w:val="none"/>
        </w:rPr>
      </w:pPr>
      <w:bookmarkStart w:id="57" w:name="_Toc398107849"/>
      <w:r>
        <w:rPr>
          <w:rFonts w:hint="eastAsia"/>
          <w:color w:val="auto"/>
          <w:highlight w:val="none"/>
        </w:rPr>
        <w:t>2.1 招标文件的组成</w:t>
      </w:r>
      <w:bookmarkEnd w:id="57"/>
    </w:p>
    <w:p w14:paraId="3DAF2D0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2.1.1 本招标文件包括：</w:t>
      </w:r>
    </w:p>
    <w:p w14:paraId="7A797B46">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（1）招标公告；</w:t>
      </w:r>
    </w:p>
    <w:p w14:paraId="298B22AF">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（2）投标人须知；</w:t>
      </w:r>
    </w:p>
    <w:p w14:paraId="32A93B7F">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（3）评标办法；</w:t>
      </w:r>
    </w:p>
    <w:p w14:paraId="01606E1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（4）合同条款及格式；</w:t>
      </w:r>
    </w:p>
    <w:p w14:paraId="05356966">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（5）技术资料和设计文件；</w:t>
      </w:r>
    </w:p>
    <w:p w14:paraId="74652206">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（6）投标文件格式；</w:t>
      </w:r>
    </w:p>
    <w:p w14:paraId="5C9D0DD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（7）投标人须知前附表规定的其他材料。</w:t>
      </w:r>
    </w:p>
    <w:p w14:paraId="210E5096">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2.1.2 根据本章第1.10款、第2.2款和第2.3款对招标文件所作的澄清、修改，构成招标文件的组成部分。当招标文件相互之间发生矛盾时，以后发出的文件为准。</w:t>
      </w:r>
    </w:p>
    <w:p w14:paraId="653D34F3">
      <w:pPr>
        <w:pStyle w:val="4"/>
        <w:snapToGrid w:val="0"/>
        <w:spacing w:line="240" w:lineRule="auto"/>
        <w:rPr>
          <w:rFonts w:hint="eastAsia"/>
          <w:color w:val="auto"/>
          <w:highlight w:val="none"/>
        </w:rPr>
      </w:pPr>
      <w:bookmarkStart w:id="58" w:name="_Toc398107850"/>
      <w:r>
        <w:rPr>
          <w:rFonts w:hint="eastAsia"/>
          <w:color w:val="auto"/>
          <w:highlight w:val="none"/>
        </w:rPr>
        <w:t>2.2 招标文件的澄清</w:t>
      </w:r>
      <w:bookmarkEnd w:id="58"/>
    </w:p>
    <w:p w14:paraId="62770928">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2.2.1 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14:paraId="7AB5E1C5">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2.2.2 招标文件的澄清将以书面形式发给所有购买招标文件的投标人，但不指明澄清问题的来源。如果澄清的内容影响到投标文件的编制，且澄清发出的时间距投标截止时间不足3天，相应延长投标截止时间。</w:t>
      </w:r>
    </w:p>
    <w:p w14:paraId="524E282A">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2.2.3 投标人在收到澄清后，</w:t>
      </w:r>
      <w:r>
        <w:rPr>
          <w:rFonts w:hint="eastAsia" w:hAnsi="宋体" w:cs="宋体"/>
          <w:bCs/>
          <w:color w:val="auto"/>
          <w:szCs w:val="21"/>
          <w:highlight w:val="none"/>
        </w:rPr>
        <w:t>应按投标人须知前附表规定的时间和形式通知招标人，确认已收到该澄清。</w:t>
      </w:r>
    </w:p>
    <w:p w14:paraId="23E0849F">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2.2.4 除非招标人认为确有必要答复，否则，招标人有权拒绝回复投标人在本章第2.2.1项规定的时间后提出的任何澄清要求。</w:t>
      </w:r>
    </w:p>
    <w:p w14:paraId="3216DEF5">
      <w:pPr>
        <w:pStyle w:val="4"/>
        <w:snapToGrid w:val="0"/>
        <w:spacing w:line="240" w:lineRule="auto"/>
        <w:rPr>
          <w:rFonts w:hint="eastAsia"/>
          <w:color w:val="auto"/>
          <w:highlight w:val="none"/>
        </w:rPr>
      </w:pPr>
      <w:bookmarkStart w:id="59" w:name="_Toc398107851"/>
      <w:r>
        <w:rPr>
          <w:rFonts w:hint="eastAsia"/>
          <w:color w:val="auto"/>
          <w:highlight w:val="none"/>
        </w:rPr>
        <w:t>2.3 招标文件的修改和补充</w:t>
      </w:r>
      <w:bookmarkEnd w:id="59"/>
    </w:p>
    <w:p w14:paraId="6FD16037">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2.3.1 在投标截止时间前，招标人可以书面形式对招标文件进行修改和补充，并通知所有已购买招标文件的投标人。如果修改和补充的内容影响到投标文件的编制，且修改和补充发出的时间距投标截止时间不足3天，相应延长投标截止时间。</w:t>
      </w:r>
    </w:p>
    <w:p w14:paraId="4122B050">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2.3.2 投标人收到修改、补充内容后，必须以书面形式通知招标人，确认已收到该修改、补充。</w:t>
      </w:r>
    </w:p>
    <w:p w14:paraId="75118EF4">
      <w:pPr>
        <w:pStyle w:val="4"/>
        <w:snapToGrid w:val="0"/>
        <w:spacing w:line="240" w:lineRule="auto"/>
        <w:rPr>
          <w:rFonts w:hint="eastAsia"/>
          <w:color w:val="auto"/>
          <w:highlight w:val="none"/>
        </w:rPr>
      </w:pPr>
      <w:r>
        <w:rPr>
          <w:rFonts w:hint="eastAsia"/>
          <w:color w:val="auto"/>
          <w:highlight w:val="none"/>
        </w:rPr>
        <w:t>2.4 招标文件的异议</w:t>
      </w:r>
    </w:p>
    <w:p w14:paraId="44DD04D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投标人或其他利害关系人对招标文件有异议的，应在投标截止时间3日前以书面形式提出，异议材料需按规定实行签章。招标人将在收到异议之日起3日内作出答复；作出答复前，将暂停招标投标活动。</w:t>
      </w:r>
    </w:p>
    <w:p w14:paraId="289949F7">
      <w:pPr>
        <w:pStyle w:val="3"/>
        <w:snapToGrid w:val="0"/>
        <w:spacing w:line="240" w:lineRule="auto"/>
        <w:rPr>
          <w:rFonts w:hint="eastAsia"/>
          <w:color w:val="auto"/>
          <w:highlight w:val="none"/>
        </w:rPr>
      </w:pPr>
      <w:bookmarkStart w:id="60" w:name="_Toc398107852"/>
      <w:bookmarkStart w:id="61" w:name="_Toc18713"/>
      <w:r>
        <w:rPr>
          <w:rFonts w:hint="eastAsia"/>
          <w:color w:val="auto"/>
          <w:highlight w:val="none"/>
        </w:rPr>
        <w:t>3  投标文件</w:t>
      </w:r>
      <w:bookmarkEnd w:id="60"/>
      <w:bookmarkEnd w:id="61"/>
    </w:p>
    <w:p w14:paraId="763527CE">
      <w:pPr>
        <w:pStyle w:val="4"/>
        <w:snapToGrid w:val="0"/>
        <w:spacing w:line="240" w:lineRule="auto"/>
        <w:rPr>
          <w:rFonts w:hint="eastAsia"/>
          <w:color w:val="auto"/>
          <w:highlight w:val="none"/>
        </w:rPr>
      </w:pPr>
      <w:bookmarkStart w:id="62" w:name="_Toc398107853"/>
      <w:r>
        <w:rPr>
          <w:rFonts w:hint="eastAsia"/>
          <w:color w:val="auto"/>
          <w:highlight w:val="none"/>
        </w:rPr>
        <w:t>3.1 投标文件的组成</w:t>
      </w:r>
      <w:bookmarkEnd w:id="62"/>
    </w:p>
    <w:p w14:paraId="30C1E1B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3.1.1 投标文件的组成见投标人须知前附表。</w:t>
      </w:r>
    </w:p>
    <w:p w14:paraId="46F83BA5">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3.1.2 “投标文件格式”要求提供相关证明材料的复印件作为附件的，投标人应按要求在投标文件中提供相应材料，否则不予认可。</w:t>
      </w:r>
    </w:p>
    <w:p w14:paraId="35EA145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3.1.3 投标人应按投标人须知前附表的规定提供相关证明材料的原件，用于现场核验，否则不予认可。</w:t>
      </w:r>
    </w:p>
    <w:p w14:paraId="639217D0">
      <w:pPr>
        <w:pStyle w:val="4"/>
        <w:snapToGrid w:val="0"/>
        <w:spacing w:line="240" w:lineRule="auto"/>
        <w:rPr>
          <w:color w:val="auto"/>
          <w:highlight w:val="none"/>
        </w:rPr>
      </w:pPr>
      <w:bookmarkStart w:id="63" w:name="_Toc398107854"/>
      <w:r>
        <w:rPr>
          <w:color w:val="auto"/>
          <w:highlight w:val="none"/>
        </w:rPr>
        <w:t xml:space="preserve">3.2 </w:t>
      </w:r>
      <w:r>
        <w:rPr>
          <w:rFonts w:hint="eastAsia"/>
          <w:color w:val="auto"/>
          <w:highlight w:val="none"/>
        </w:rPr>
        <w:t>投标报价</w:t>
      </w:r>
      <w:bookmarkEnd w:id="63"/>
    </w:p>
    <w:p w14:paraId="4CF813C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3.2.1 投标报价应包含在服务期内完成本招标文件所列</w:t>
      </w:r>
      <w:r>
        <w:rPr>
          <w:rFonts w:hint="eastAsia" w:ascii="宋体" w:hAnsi="宋体" w:cs="宋体"/>
          <w:color w:val="auto"/>
          <w:kern w:val="0"/>
          <w:szCs w:val="21"/>
          <w:highlight w:val="none"/>
          <w:lang w:val="en-US" w:eastAsia="zh-CN"/>
        </w:rPr>
        <w:t>招标</w:t>
      </w:r>
      <w:r>
        <w:rPr>
          <w:rFonts w:hint="eastAsia" w:ascii="宋体" w:hAnsi="宋体" w:cs="宋体"/>
          <w:color w:val="auto"/>
          <w:kern w:val="0"/>
          <w:szCs w:val="21"/>
          <w:highlight w:val="none"/>
        </w:rPr>
        <w:t>范围全部</w:t>
      </w: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工作内容所需的所有费用，投标报价应包括国家规定的增值税税金。投标人应按“投标文件格式”的要求在投标函中进行报价并填写相应表格。</w:t>
      </w:r>
    </w:p>
    <w:p w14:paraId="0813BB2D">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3.2.2 招标人设有最高投标限价的，投标人的投标报价不得超过最高投标限价，最高投标限价在投标人须知前附表中载明。</w:t>
      </w:r>
    </w:p>
    <w:p w14:paraId="5DD2BE6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3.2.3 投标人应充分了解本项目的总体情况以及影响投标报价的其他要素。</w:t>
      </w:r>
    </w:p>
    <w:p w14:paraId="5DD82307">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3.2.4 投标报价的其他要求见投标人须知前附表。</w:t>
      </w:r>
    </w:p>
    <w:p w14:paraId="4BFC0D34">
      <w:pPr>
        <w:pStyle w:val="4"/>
        <w:snapToGrid w:val="0"/>
        <w:spacing w:line="240" w:lineRule="auto"/>
        <w:rPr>
          <w:rFonts w:hint="eastAsia"/>
          <w:color w:val="auto"/>
          <w:highlight w:val="none"/>
        </w:rPr>
      </w:pPr>
      <w:bookmarkStart w:id="64" w:name="_Toc398107855"/>
      <w:r>
        <w:rPr>
          <w:rFonts w:hint="eastAsia"/>
          <w:color w:val="auto"/>
          <w:highlight w:val="none"/>
        </w:rPr>
        <w:t>3.3 投标有效期</w:t>
      </w:r>
      <w:bookmarkEnd w:id="64"/>
    </w:p>
    <w:p w14:paraId="51BA734E">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3.3.1 投标有效期从投标人提交投标文件截止之日起计算。在投标人须知前附表规定的投标有效期内，投标人不得要求撤销或修改其投标文件。</w:t>
      </w:r>
    </w:p>
    <w:p w14:paraId="025870C7">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3.3.2 在本招标文件规定的投标有效期结束前，出现特殊情况的，招标人可以书面形式通知所有投标人延长投标有效期。投标人同意延长的，应相应延长其投标保证金的有效期，但不得要求或被允许修改或撤销其投标文件；投标人拒绝延长的，其投标在投标有效期结束后失效，但投标人有权收回其投标保证金。</w:t>
      </w:r>
    </w:p>
    <w:p w14:paraId="47FEC2F1">
      <w:pPr>
        <w:pStyle w:val="4"/>
        <w:snapToGrid w:val="0"/>
        <w:spacing w:line="240" w:lineRule="auto"/>
        <w:rPr>
          <w:rFonts w:hint="eastAsia"/>
          <w:color w:val="auto"/>
          <w:highlight w:val="none"/>
        </w:rPr>
      </w:pPr>
      <w:bookmarkStart w:id="65" w:name="_Toc398107856"/>
      <w:r>
        <w:rPr>
          <w:rFonts w:hint="eastAsia"/>
          <w:color w:val="auto"/>
          <w:highlight w:val="none"/>
        </w:rPr>
        <w:t>3.4 投标保证金</w:t>
      </w:r>
      <w:bookmarkEnd w:id="65"/>
      <w:r>
        <w:rPr>
          <w:rFonts w:hint="eastAsia"/>
          <w:color w:val="auto"/>
          <w:highlight w:val="none"/>
        </w:rPr>
        <w:t>（本项目无）</w:t>
      </w:r>
    </w:p>
    <w:p w14:paraId="7A545B14">
      <w:pPr>
        <w:pStyle w:val="4"/>
        <w:snapToGrid w:val="0"/>
        <w:spacing w:line="240" w:lineRule="auto"/>
        <w:rPr>
          <w:rFonts w:hint="eastAsia"/>
          <w:color w:val="auto"/>
          <w:highlight w:val="none"/>
        </w:rPr>
      </w:pPr>
      <w:bookmarkStart w:id="66" w:name="_Toc152042328"/>
      <w:bookmarkStart w:id="67" w:name="_Toc179632570"/>
      <w:bookmarkStart w:id="68" w:name="_Toc144974520"/>
      <w:bookmarkStart w:id="69" w:name="_Toc152045552"/>
      <w:r>
        <w:rPr>
          <w:rFonts w:hint="eastAsia"/>
          <w:color w:val="auto"/>
          <w:highlight w:val="none"/>
        </w:rPr>
        <w:t>3.5 资格审查资料</w:t>
      </w:r>
      <w:bookmarkEnd w:id="66"/>
      <w:bookmarkEnd w:id="67"/>
      <w:bookmarkEnd w:id="68"/>
      <w:bookmarkEnd w:id="69"/>
    </w:p>
    <w:p w14:paraId="27874A7A">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3.5.1 投标人应按投标人须知前附表附录要求提供资格审查资料，内容及格式见“投标文件格式”要求。</w:t>
      </w:r>
    </w:p>
    <w:p w14:paraId="06D64823">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3.5.2 投标人须知前附表规定接受联合体投标的，资格审查资料应包括联合体各方相关情况。</w:t>
      </w:r>
    </w:p>
    <w:p w14:paraId="3216D397">
      <w:pPr>
        <w:adjustRightInd w:val="0"/>
        <w:snapToGrid w:val="0"/>
        <w:spacing w:line="240" w:lineRule="auto"/>
        <w:ind w:firstLine="480" w:firstLineChars="200"/>
        <w:rPr>
          <w:rFonts w:hAnsi="宋体" w:cs="宋体"/>
          <w:bCs/>
          <w:color w:val="auto"/>
          <w:szCs w:val="21"/>
          <w:highlight w:val="none"/>
        </w:rPr>
      </w:pPr>
      <w:r>
        <w:rPr>
          <w:rFonts w:hint="eastAsia" w:hAnsi="宋体" w:cs="宋体"/>
          <w:bCs/>
          <w:color w:val="auto"/>
          <w:szCs w:val="21"/>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hint="eastAsia" w:hAnsi="宋体" w:cs="宋体"/>
          <w:b/>
          <w:color w:val="auto"/>
          <w:szCs w:val="21"/>
          <w:highlight w:val="none"/>
        </w:rPr>
        <w:t>如果签订合同后发现中标人提供了虚假材料，招标人有权解除合同</w:t>
      </w:r>
      <w:r>
        <w:rPr>
          <w:rFonts w:hint="eastAsia" w:hAnsi="宋体" w:cs="宋体"/>
          <w:bCs/>
          <w:color w:val="auto"/>
          <w:szCs w:val="21"/>
          <w:highlight w:val="none"/>
        </w:rPr>
        <w:t>。同时招标人将投标人上述弄虚作假行为上报公共资源交易监督管理部门处理。</w:t>
      </w:r>
    </w:p>
    <w:p w14:paraId="45DB608D">
      <w:pPr>
        <w:pStyle w:val="4"/>
        <w:snapToGrid w:val="0"/>
        <w:spacing w:line="240" w:lineRule="auto"/>
        <w:rPr>
          <w:rFonts w:hint="eastAsia"/>
          <w:color w:val="auto"/>
          <w:highlight w:val="none"/>
        </w:rPr>
      </w:pPr>
      <w:r>
        <w:rPr>
          <w:rFonts w:hint="eastAsia"/>
          <w:color w:val="auto"/>
          <w:highlight w:val="none"/>
        </w:rPr>
        <w:t>3.6 备选投标方案</w:t>
      </w:r>
    </w:p>
    <w:p w14:paraId="18B829C4">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3.6.1 除投标人须知前附表规定允许外，投标人不得递交备选投标方案，否则其投标将被否决。</w:t>
      </w:r>
    </w:p>
    <w:p w14:paraId="19B926DA">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452E0A1">
      <w:pPr>
        <w:adjustRightInd w:val="0"/>
        <w:snapToGrid w:val="0"/>
        <w:spacing w:line="240" w:lineRule="auto"/>
        <w:ind w:firstLine="480" w:firstLineChars="200"/>
        <w:rPr>
          <w:rFonts w:hint="eastAsia" w:ascii="宋体" w:hAnsi="宋体" w:cs="宋体"/>
          <w:color w:val="auto"/>
          <w:kern w:val="0"/>
          <w:szCs w:val="21"/>
          <w:highlight w:val="none"/>
        </w:rPr>
      </w:pPr>
      <w:r>
        <w:rPr>
          <w:rFonts w:hint="eastAsia" w:hAnsi="宋体" w:cs="宋体"/>
          <w:bCs/>
          <w:color w:val="auto"/>
          <w:szCs w:val="21"/>
          <w:highlight w:val="none"/>
        </w:rPr>
        <w:t>3.6.3 投标人提供两个或两个以上投标报价，或在投标文件中提供一个报价，但同时提供两个或两个以上</w:t>
      </w:r>
      <w:r>
        <w:rPr>
          <w:rFonts w:hint="eastAsia" w:hAnsi="宋体" w:cs="宋体"/>
          <w:bCs/>
          <w:color w:val="auto"/>
          <w:szCs w:val="21"/>
          <w:highlight w:val="none"/>
          <w:lang w:eastAsia="zh-CN"/>
        </w:rPr>
        <w:t>服务方案</w:t>
      </w:r>
      <w:r>
        <w:rPr>
          <w:rFonts w:hint="eastAsia" w:hAnsi="宋体" w:cs="宋体"/>
          <w:bCs/>
          <w:color w:val="auto"/>
          <w:szCs w:val="21"/>
          <w:highlight w:val="none"/>
        </w:rPr>
        <w:t>的，视为提供备选方案。</w:t>
      </w:r>
    </w:p>
    <w:p w14:paraId="750ED1ED">
      <w:pPr>
        <w:pStyle w:val="4"/>
        <w:snapToGrid w:val="0"/>
        <w:spacing w:line="240" w:lineRule="auto"/>
        <w:rPr>
          <w:rFonts w:hint="eastAsia"/>
          <w:color w:val="auto"/>
          <w:highlight w:val="none"/>
        </w:rPr>
      </w:pPr>
      <w:r>
        <w:rPr>
          <w:rFonts w:hint="eastAsia"/>
          <w:color w:val="auto"/>
          <w:highlight w:val="none"/>
        </w:rPr>
        <w:t>3.7 投标文件的编制</w:t>
      </w:r>
    </w:p>
    <w:p w14:paraId="6DC7D099">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3.7.1 投标文件应按“投标文件格式”进行编写，如有必要，可以增加附页，作为投标文件的组成部分。其中，投标函附录在满足招标文件实质性要求的基础上，可以提出比招标文件要求更有利于招标人的承诺。</w:t>
      </w:r>
      <w:r>
        <w:rPr>
          <w:rFonts w:hint="eastAsia" w:hAnsi="宋体" w:cs="宋体"/>
          <w:color w:val="auto"/>
          <w:highlight w:val="none"/>
          <w:lang w:val="en-US" w:eastAsia="zh-CN"/>
        </w:rPr>
        <w:t>服务</w:t>
      </w:r>
      <w:r>
        <w:rPr>
          <w:rFonts w:hint="eastAsia" w:hAnsi="宋体" w:cs="宋体"/>
          <w:color w:val="auto"/>
          <w:szCs w:val="21"/>
          <w:highlight w:val="none"/>
          <w:shd w:val="clear" w:color="auto" w:fill="FFFFFF"/>
        </w:rPr>
        <w:t>方案编制的特殊要求见投标人须知前附表。</w:t>
      </w:r>
    </w:p>
    <w:p w14:paraId="59AF05A3">
      <w:pPr>
        <w:adjustRightInd w:val="0"/>
        <w:snapToGrid w:val="0"/>
        <w:spacing w:line="240" w:lineRule="auto"/>
        <w:ind w:firstLine="480" w:firstLineChars="200"/>
        <w:rPr>
          <w:rFonts w:hint="eastAsia" w:hAnsi="宋体" w:cs="宋体"/>
          <w:color w:val="auto"/>
          <w:szCs w:val="21"/>
          <w:highlight w:val="none"/>
        </w:rPr>
      </w:pPr>
      <w:r>
        <w:rPr>
          <w:rFonts w:hint="eastAsia" w:hAnsi="宋体" w:cs="宋体"/>
          <w:color w:val="auto"/>
          <w:highlight w:val="none"/>
        </w:rPr>
        <w:t xml:space="preserve">3.7.2 </w:t>
      </w:r>
      <w:r>
        <w:rPr>
          <w:rFonts w:hint="eastAsia" w:hAnsi="宋体" w:cs="宋体"/>
          <w:color w:val="auto"/>
          <w:szCs w:val="21"/>
          <w:highlight w:val="none"/>
          <w:shd w:val="clear" w:color="auto" w:fill="FFFFFF"/>
        </w:rPr>
        <w:t>投标文件应当对招标文件有关工期、投标有效期、质量要求、技术标准和要求、招标范围等实质性内容作出响应。</w:t>
      </w:r>
    </w:p>
    <w:p w14:paraId="31CDAFA1">
      <w:pPr>
        <w:pStyle w:val="4"/>
        <w:snapToGrid w:val="0"/>
        <w:spacing w:line="240" w:lineRule="auto"/>
        <w:rPr>
          <w:rFonts w:hint="eastAsia"/>
          <w:color w:val="auto"/>
          <w:highlight w:val="none"/>
        </w:rPr>
      </w:pPr>
      <w:bookmarkStart w:id="70" w:name="_Toc398107859"/>
      <w:r>
        <w:rPr>
          <w:rFonts w:hint="eastAsia"/>
          <w:color w:val="auto"/>
          <w:highlight w:val="none"/>
        </w:rPr>
        <w:t>3.8 投标文件的份数和装订</w:t>
      </w:r>
      <w:bookmarkEnd w:id="70"/>
    </w:p>
    <w:p w14:paraId="777F53A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3.8.1 投标文件正本一份, 副本份数见投标人须知前附表。正本和副本的封面上应清楚地标记“正本”或“副本”的字样。当副本和正本不一致时，以正本为准。</w:t>
      </w:r>
    </w:p>
    <w:p w14:paraId="717A0F79">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3.8.2 投标文件应当按本招标文件规定的正本与副本数量分别装订成册，并编制目录。</w:t>
      </w:r>
    </w:p>
    <w:p w14:paraId="0C06CBFD">
      <w:pPr>
        <w:pStyle w:val="4"/>
        <w:snapToGrid w:val="0"/>
        <w:spacing w:line="240" w:lineRule="auto"/>
        <w:rPr>
          <w:rFonts w:hint="eastAsia"/>
          <w:color w:val="auto"/>
          <w:highlight w:val="none"/>
        </w:rPr>
      </w:pPr>
      <w:bookmarkStart w:id="71" w:name="_Toc398107860"/>
      <w:r>
        <w:rPr>
          <w:rFonts w:hint="eastAsia"/>
          <w:color w:val="auto"/>
          <w:highlight w:val="none"/>
        </w:rPr>
        <w:t xml:space="preserve">3.9 </w:t>
      </w:r>
      <w:bookmarkEnd w:id="71"/>
      <w:bookmarkStart w:id="72" w:name="_Toc398107861"/>
      <w:r>
        <w:rPr>
          <w:rFonts w:hint="eastAsia"/>
          <w:color w:val="auto"/>
          <w:highlight w:val="none"/>
        </w:rPr>
        <w:t>暗标</w:t>
      </w:r>
      <w:bookmarkEnd w:id="72"/>
      <w:r>
        <w:rPr>
          <w:rFonts w:hint="eastAsia" w:hAnsi="宋体" w:cs="宋体"/>
          <w:b/>
          <w:color w:val="auto"/>
          <w:szCs w:val="21"/>
          <w:highlight w:val="none"/>
          <w:shd w:val="clear" w:color="auto" w:fill="FFFFFF"/>
        </w:rPr>
        <w:t>（本条不适用）</w:t>
      </w:r>
    </w:p>
    <w:p w14:paraId="569B303B">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投标人须知前附表规定</w:t>
      </w:r>
      <w:r>
        <w:rPr>
          <w:rFonts w:hint="eastAsia" w:ascii="宋体" w:hAnsi="宋体" w:cs="宋体"/>
          <w:color w:val="auto"/>
          <w:kern w:val="0"/>
          <w:szCs w:val="21"/>
          <w:highlight w:val="none"/>
          <w:lang w:eastAsia="zh-CN"/>
        </w:rPr>
        <w:t>服务方案</w:t>
      </w:r>
      <w:r>
        <w:rPr>
          <w:rFonts w:hint="eastAsia" w:ascii="宋体" w:hAnsi="宋体" w:cs="宋体"/>
          <w:color w:val="auto"/>
          <w:kern w:val="0"/>
          <w:szCs w:val="21"/>
          <w:highlight w:val="none"/>
        </w:rPr>
        <w:t>采用暗标评审的，投标人应严格按照 “投标人须知前附表”规定的编制及装订要求编制和装订</w:t>
      </w:r>
      <w:r>
        <w:rPr>
          <w:rFonts w:hint="eastAsia" w:ascii="宋体" w:hAnsi="宋体" w:cs="宋体"/>
          <w:color w:val="auto"/>
          <w:kern w:val="0"/>
          <w:szCs w:val="21"/>
          <w:highlight w:val="none"/>
          <w:lang w:eastAsia="zh-CN"/>
        </w:rPr>
        <w:t>服务方案</w:t>
      </w:r>
      <w:r>
        <w:rPr>
          <w:rFonts w:hint="eastAsia" w:ascii="宋体" w:hAnsi="宋体" w:cs="宋体"/>
          <w:color w:val="auto"/>
          <w:kern w:val="0"/>
          <w:szCs w:val="21"/>
          <w:highlight w:val="none"/>
        </w:rPr>
        <w:t>。</w:t>
      </w:r>
    </w:p>
    <w:p w14:paraId="5370D277">
      <w:pPr>
        <w:pStyle w:val="3"/>
        <w:snapToGrid w:val="0"/>
        <w:spacing w:line="240" w:lineRule="auto"/>
        <w:rPr>
          <w:rFonts w:hint="eastAsia"/>
          <w:color w:val="auto"/>
          <w:highlight w:val="none"/>
        </w:rPr>
      </w:pPr>
      <w:bookmarkStart w:id="73" w:name="_Toc398107862"/>
      <w:bookmarkStart w:id="74" w:name="_Toc1835"/>
      <w:r>
        <w:rPr>
          <w:rFonts w:hint="eastAsia"/>
          <w:color w:val="auto"/>
          <w:highlight w:val="none"/>
        </w:rPr>
        <w:t>4  投标</w:t>
      </w:r>
      <w:bookmarkEnd w:id="73"/>
      <w:bookmarkEnd w:id="74"/>
    </w:p>
    <w:p w14:paraId="2981C983">
      <w:pPr>
        <w:pStyle w:val="4"/>
        <w:snapToGrid w:val="0"/>
        <w:spacing w:line="240" w:lineRule="auto"/>
        <w:rPr>
          <w:rFonts w:hint="eastAsia"/>
          <w:color w:val="auto"/>
          <w:highlight w:val="none"/>
        </w:rPr>
      </w:pPr>
      <w:bookmarkStart w:id="75" w:name="_Toc398107863"/>
      <w:r>
        <w:rPr>
          <w:rFonts w:hint="eastAsia"/>
          <w:color w:val="auto"/>
          <w:highlight w:val="none"/>
        </w:rPr>
        <w:t>4.1 投标文件的密封和标记</w:t>
      </w:r>
      <w:bookmarkEnd w:id="75"/>
    </w:p>
    <w:p w14:paraId="2097292D">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4.1.1 投标文件应当密封包装。封套的封口处加盖投标人单位章或由投标人的法定代人或其授权的代理人签字。</w:t>
      </w:r>
    </w:p>
    <w:p w14:paraId="31FE2AC1">
      <w:pPr>
        <w:pStyle w:val="4"/>
        <w:snapToGrid w:val="0"/>
        <w:spacing w:line="240" w:lineRule="auto"/>
        <w:rPr>
          <w:rFonts w:hint="eastAsia"/>
          <w:color w:val="auto"/>
          <w:highlight w:val="none"/>
        </w:rPr>
      </w:pPr>
      <w:bookmarkStart w:id="76" w:name="_Toc398107864"/>
      <w:r>
        <w:rPr>
          <w:rFonts w:hint="eastAsia"/>
          <w:color w:val="auto"/>
          <w:highlight w:val="none"/>
        </w:rPr>
        <w:t>4.2 投标文件的递交</w:t>
      </w:r>
      <w:bookmarkEnd w:id="76"/>
    </w:p>
    <w:p w14:paraId="074AC001">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4.2.1 投标人应当在第一章“招标公告”规定的投标截止时间前，将投标文件递交。</w:t>
      </w:r>
    </w:p>
    <w:p w14:paraId="73A21B9B">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4.2.2 投标人递交投标文件的地点：见投标人须知前附表。</w:t>
      </w:r>
    </w:p>
    <w:p w14:paraId="0DB3A141">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4.2.3 除投标人须知前附表另有规定外，投标人所递交的投标文件不予退还。</w:t>
      </w:r>
    </w:p>
    <w:p w14:paraId="2D12BEF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4.2.4 投标人应当在投标截止时间前完成投标文件的递交。投标截止时间后送达的投标文件，应当拒收。</w:t>
      </w:r>
    </w:p>
    <w:p w14:paraId="073FB299">
      <w:pPr>
        <w:pStyle w:val="4"/>
        <w:snapToGrid w:val="0"/>
        <w:spacing w:line="240" w:lineRule="auto"/>
        <w:rPr>
          <w:rFonts w:hint="eastAsia"/>
          <w:color w:val="auto"/>
          <w:highlight w:val="none"/>
        </w:rPr>
      </w:pPr>
      <w:bookmarkStart w:id="77" w:name="_Toc144974526"/>
      <w:bookmarkStart w:id="78" w:name="_Toc152042334"/>
      <w:bookmarkStart w:id="79" w:name="_Toc152045558"/>
      <w:bookmarkStart w:id="80" w:name="_Toc179632576"/>
      <w:r>
        <w:rPr>
          <w:rFonts w:hint="eastAsia"/>
          <w:color w:val="auto"/>
          <w:highlight w:val="none"/>
        </w:rPr>
        <w:t>4.3 投标文件的修改与撤回</w:t>
      </w:r>
      <w:bookmarkEnd w:id="77"/>
      <w:bookmarkEnd w:id="78"/>
      <w:bookmarkEnd w:id="79"/>
      <w:bookmarkEnd w:id="80"/>
    </w:p>
    <w:p w14:paraId="4C999C5B">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4.3.1 在本章第4.2.1项规定的投标截止时间前，投标人可以修改或撤回已递交的投标文件。</w:t>
      </w:r>
    </w:p>
    <w:p w14:paraId="50585B2F">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4.3.2 投标人修改或撤回已递交的投标文件的，应当以书面形式通知招标人。书面通知应按照本章第3.7.3项的要求签字或盖章。招标人收到书面通知后，向投标人出具签收凭证。</w:t>
      </w:r>
    </w:p>
    <w:p w14:paraId="180F3BDB">
      <w:pPr>
        <w:pStyle w:val="3"/>
        <w:snapToGrid w:val="0"/>
        <w:spacing w:line="240" w:lineRule="auto"/>
        <w:rPr>
          <w:rFonts w:hint="eastAsia"/>
          <w:color w:val="auto"/>
          <w:highlight w:val="none"/>
        </w:rPr>
      </w:pPr>
      <w:bookmarkStart w:id="81" w:name="_Toc17488"/>
      <w:bookmarkStart w:id="82" w:name="_Toc398107867"/>
      <w:r>
        <w:rPr>
          <w:rFonts w:hint="eastAsia"/>
          <w:color w:val="auto"/>
          <w:highlight w:val="none"/>
        </w:rPr>
        <w:t>5  开标</w:t>
      </w:r>
      <w:bookmarkEnd w:id="81"/>
      <w:bookmarkEnd w:id="82"/>
    </w:p>
    <w:p w14:paraId="4BE0E98F">
      <w:pPr>
        <w:pStyle w:val="4"/>
        <w:snapToGrid w:val="0"/>
        <w:spacing w:line="240" w:lineRule="auto"/>
        <w:rPr>
          <w:rFonts w:hint="eastAsia"/>
          <w:color w:val="auto"/>
          <w:highlight w:val="none"/>
        </w:rPr>
      </w:pPr>
      <w:bookmarkStart w:id="83" w:name="_Toc398107868"/>
      <w:r>
        <w:rPr>
          <w:rFonts w:hint="eastAsia"/>
          <w:color w:val="auto"/>
          <w:highlight w:val="none"/>
        </w:rPr>
        <w:t>5.1 开标时间、地点和人员</w:t>
      </w:r>
      <w:bookmarkEnd w:id="83"/>
    </w:p>
    <w:p w14:paraId="53FA401F">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招标人在本章第4.2.1项规定的投标截止时间（开标时间）公开开标，所有投标人的法定代表人或其委托代理人应当准时参加。</w:t>
      </w:r>
    </w:p>
    <w:p w14:paraId="2A6486F1">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投标人若未派法定代表人或其委托代理人出席开标活动，视为该投标人默认开标结果。</w:t>
      </w:r>
    </w:p>
    <w:p w14:paraId="01934E42">
      <w:pPr>
        <w:pStyle w:val="4"/>
        <w:snapToGrid w:val="0"/>
        <w:spacing w:line="240" w:lineRule="auto"/>
        <w:rPr>
          <w:rFonts w:hint="eastAsia"/>
          <w:color w:val="auto"/>
          <w:highlight w:val="none"/>
        </w:rPr>
      </w:pPr>
      <w:bookmarkStart w:id="84" w:name="_Toc398107869"/>
      <w:r>
        <w:rPr>
          <w:rFonts w:hint="eastAsia"/>
          <w:color w:val="auto"/>
          <w:highlight w:val="none"/>
        </w:rPr>
        <w:t>5.2 开标程序</w:t>
      </w:r>
      <w:bookmarkEnd w:id="84"/>
    </w:p>
    <w:p w14:paraId="1C375E4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5.2.1除投标人须知前附表另有规定外，主持人按下列程序进行开标：</w:t>
      </w:r>
    </w:p>
    <w:p w14:paraId="0B91991F">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（1）公布在投标截止时间前完成投标文件递交的投标人名称；</w:t>
      </w:r>
    </w:p>
    <w:p w14:paraId="7DF50972">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（2）由投标人推选的代表检查投标文件的密封情况；</w:t>
      </w:r>
    </w:p>
    <w:p w14:paraId="0405FC06">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（3）按投标人须知前附表规定公布投标人名称、投标报价及其他内容；</w:t>
      </w:r>
    </w:p>
    <w:p w14:paraId="0E4049D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（4）开标结束。</w:t>
      </w:r>
    </w:p>
    <w:p w14:paraId="05AA09D1">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5.2.3 投标人对开标有异议的，应当在开标过程中提出；招标人当场对异议作出答复，并记入开标记录。                                                                                                                                                                                                                                                                                                                                                                                                                                                                                                                                                                                                                                                                                                                                                                                                                                                                                                                                                                                                                                                                                                                                                                                                                                                                             </w:t>
      </w:r>
    </w:p>
    <w:p w14:paraId="396E1B8D">
      <w:pPr>
        <w:pStyle w:val="3"/>
        <w:snapToGrid w:val="0"/>
        <w:spacing w:line="240" w:lineRule="auto"/>
        <w:rPr>
          <w:rFonts w:hint="eastAsia"/>
          <w:color w:val="auto"/>
          <w:highlight w:val="none"/>
        </w:rPr>
      </w:pPr>
      <w:bookmarkStart w:id="85" w:name="_Toc398107870"/>
      <w:bookmarkStart w:id="86" w:name="_Toc18500"/>
      <w:r>
        <w:rPr>
          <w:rFonts w:hint="eastAsia"/>
          <w:color w:val="auto"/>
          <w:highlight w:val="none"/>
        </w:rPr>
        <w:t>6  评标</w:t>
      </w:r>
      <w:bookmarkEnd w:id="85"/>
      <w:bookmarkEnd w:id="86"/>
    </w:p>
    <w:p w14:paraId="4EC26396">
      <w:pPr>
        <w:autoSpaceDE w:val="0"/>
        <w:autoSpaceDN w:val="0"/>
        <w:adjustRightInd w:val="0"/>
        <w:snapToGrid w:val="0"/>
        <w:spacing w:line="240" w:lineRule="auto"/>
        <w:ind w:firstLine="480" w:firstLineChars="200"/>
        <w:jc w:val="left"/>
        <w:rPr>
          <w:rFonts w:hint="eastAsia" w:eastAsia="黑体"/>
          <w:bCs/>
          <w:color w:val="auto"/>
          <w:kern w:val="0"/>
          <w:sz w:val="24"/>
          <w:szCs w:val="32"/>
          <w:highlight w:val="none"/>
        </w:rPr>
      </w:pPr>
      <w:bookmarkStart w:id="87" w:name="_Toc152045563"/>
      <w:bookmarkStart w:id="88" w:name="_Toc179632581"/>
      <w:bookmarkStart w:id="89" w:name="_Toc152042339"/>
      <w:bookmarkStart w:id="90" w:name="_Toc144974531"/>
      <w:r>
        <w:rPr>
          <w:rFonts w:hint="eastAsia" w:eastAsia="黑体"/>
          <w:bCs/>
          <w:color w:val="auto"/>
          <w:kern w:val="0"/>
          <w:sz w:val="24"/>
          <w:szCs w:val="32"/>
          <w:highlight w:val="none"/>
        </w:rPr>
        <w:t>6.1 评标委员会</w:t>
      </w:r>
      <w:bookmarkEnd w:id="87"/>
      <w:bookmarkEnd w:id="88"/>
      <w:bookmarkEnd w:id="89"/>
      <w:bookmarkEnd w:id="90"/>
    </w:p>
    <w:p w14:paraId="3E15236A">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0199886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6.1.2 评标委员会成员有下列情形之一的，应当主动提出回避：</w:t>
      </w:r>
    </w:p>
    <w:p w14:paraId="2FF47D9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（1）投标人或投标人的主要负责人的近亲属； </w:t>
      </w:r>
    </w:p>
    <w:p w14:paraId="2728A1A6">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（2）项目主管部门或者行政监督部门的人员；</w:t>
      </w:r>
    </w:p>
    <w:p w14:paraId="7DA6871C">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（3）与投标人有经济利益关系，可能影响对投标公正评审的；</w:t>
      </w:r>
    </w:p>
    <w:p w14:paraId="68A79D3D">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（4）曾因在招标、评标以及其他与招标投标有关活动中从事违法行为而受过行政处罚或刑事处罚的；</w:t>
      </w:r>
    </w:p>
    <w:p w14:paraId="13583B34">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（5）与投标人有其他利害关系。</w:t>
      </w:r>
    </w:p>
    <w:p w14:paraId="156CCAF9">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6.1.3 评标过程中，评标委员会成员有回避事由、擅离职守或因健康等原因不能继续评标的，招标人有权更换。被更换的评标委员会成员作出的评审结论无效，由更换后的评标委员会成员重新进行评审。</w:t>
      </w:r>
    </w:p>
    <w:p w14:paraId="700BFEEB">
      <w:pPr>
        <w:autoSpaceDE w:val="0"/>
        <w:autoSpaceDN w:val="0"/>
        <w:adjustRightInd w:val="0"/>
        <w:snapToGrid w:val="0"/>
        <w:spacing w:line="240" w:lineRule="auto"/>
        <w:ind w:firstLine="480" w:firstLineChars="200"/>
        <w:jc w:val="left"/>
        <w:rPr>
          <w:rFonts w:hint="eastAsia" w:eastAsia="黑体"/>
          <w:bCs/>
          <w:color w:val="auto"/>
          <w:kern w:val="0"/>
          <w:sz w:val="24"/>
          <w:szCs w:val="32"/>
          <w:highlight w:val="none"/>
        </w:rPr>
      </w:pPr>
      <w:bookmarkStart w:id="91" w:name="_Toc152042340"/>
      <w:bookmarkStart w:id="92" w:name="_Toc152045564"/>
      <w:bookmarkStart w:id="93" w:name="_Toc144974532"/>
      <w:bookmarkStart w:id="94" w:name="_Toc179632582"/>
      <w:r>
        <w:rPr>
          <w:rFonts w:hint="eastAsia" w:eastAsia="黑体"/>
          <w:bCs/>
          <w:color w:val="auto"/>
          <w:kern w:val="0"/>
          <w:sz w:val="24"/>
          <w:szCs w:val="32"/>
          <w:highlight w:val="none"/>
        </w:rPr>
        <w:t>6.2 评标原则</w:t>
      </w:r>
      <w:bookmarkEnd w:id="91"/>
      <w:bookmarkEnd w:id="92"/>
      <w:bookmarkEnd w:id="93"/>
      <w:bookmarkEnd w:id="94"/>
    </w:p>
    <w:p w14:paraId="5C2BE3A8">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评标活动遵循公平、公正、科学和择优的原则。</w:t>
      </w:r>
    </w:p>
    <w:p w14:paraId="2BF929D5">
      <w:pPr>
        <w:autoSpaceDE w:val="0"/>
        <w:autoSpaceDN w:val="0"/>
        <w:adjustRightInd w:val="0"/>
        <w:snapToGrid w:val="0"/>
        <w:spacing w:line="240" w:lineRule="auto"/>
        <w:ind w:firstLine="480" w:firstLineChars="200"/>
        <w:jc w:val="left"/>
        <w:rPr>
          <w:rFonts w:hint="eastAsia" w:eastAsia="黑体"/>
          <w:bCs/>
          <w:color w:val="auto"/>
          <w:kern w:val="0"/>
          <w:sz w:val="24"/>
          <w:szCs w:val="32"/>
          <w:highlight w:val="none"/>
        </w:rPr>
      </w:pPr>
      <w:bookmarkStart w:id="95" w:name="_Toc152042341"/>
      <w:bookmarkStart w:id="96" w:name="_Toc179632583"/>
      <w:bookmarkStart w:id="97" w:name="_Toc152045565"/>
      <w:bookmarkStart w:id="98" w:name="_Toc144974533"/>
      <w:r>
        <w:rPr>
          <w:rFonts w:hint="eastAsia" w:eastAsia="黑体"/>
          <w:bCs/>
          <w:color w:val="auto"/>
          <w:kern w:val="0"/>
          <w:sz w:val="24"/>
          <w:szCs w:val="32"/>
          <w:highlight w:val="none"/>
        </w:rPr>
        <w:t>6.3 评标</w:t>
      </w:r>
      <w:bookmarkEnd w:id="95"/>
      <w:bookmarkEnd w:id="96"/>
      <w:bookmarkEnd w:id="97"/>
      <w:bookmarkEnd w:id="98"/>
    </w:p>
    <w:p w14:paraId="7330290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6.3.1 评标委员会按照第三章“评标办法”规定的方法、评审因素、标准和程序对投标文件进行评审。第三章“评标办法”没有规定的方法、评审因素和标准，不作为评标依据。</w:t>
      </w:r>
    </w:p>
    <w:p w14:paraId="1D444733">
      <w:pPr>
        <w:autoSpaceDE w:val="0"/>
        <w:autoSpaceDN w:val="0"/>
        <w:adjustRightInd w:val="0"/>
        <w:snapToGrid w:val="0"/>
        <w:spacing w:line="240" w:lineRule="auto"/>
        <w:ind w:firstLine="48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6.3.2 评标完成后，评标委员会应向招标人提交书面评标报告和中标候选人名单。评标委员会推荐中标候选人的人数见投标人须知前附表。</w:t>
      </w:r>
    </w:p>
    <w:p w14:paraId="05339DB4">
      <w:pPr>
        <w:pStyle w:val="3"/>
        <w:adjustRightInd w:val="0"/>
        <w:snapToGrid w:val="0"/>
        <w:spacing w:before="0" w:after="0" w:line="240" w:lineRule="auto"/>
        <w:rPr>
          <w:rFonts w:hint="eastAsia" w:ascii="宋体" w:hAnsi="宋体" w:cs="宋体"/>
          <w:color w:val="auto"/>
          <w:highlight w:val="none"/>
        </w:rPr>
      </w:pPr>
      <w:bookmarkStart w:id="99" w:name="_Toc179632584"/>
      <w:bookmarkStart w:id="100" w:name="_Toc152042342"/>
      <w:bookmarkStart w:id="101" w:name="_Toc26096"/>
      <w:bookmarkStart w:id="102" w:name="_Toc152045566"/>
      <w:bookmarkStart w:id="103" w:name="_Toc38879330"/>
      <w:bookmarkStart w:id="104" w:name="_Toc20048"/>
      <w:bookmarkStart w:id="105" w:name="_Toc144974534"/>
      <w:r>
        <w:rPr>
          <w:rFonts w:hint="eastAsia" w:ascii="宋体" w:hAnsi="宋体" w:cs="宋体"/>
          <w:color w:val="auto"/>
          <w:highlight w:val="none"/>
        </w:rPr>
        <w:t>7. 合同授予</w:t>
      </w:r>
      <w:bookmarkEnd w:id="99"/>
      <w:bookmarkEnd w:id="100"/>
      <w:bookmarkEnd w:id="101"/>
      <w:bookmarkEnd w:id="102"/>
      <w:bookmarkEnd w:id="103"/>
      <w:bookmarkEnd w:id="104"/>
      <w:bookmarkEnd w:id="105"/>
    </w:p>
    <w:p w14:paraId="7552572B">
      <w:pPr>
        <w:pStyle w:val="4"/>
        <w:snapToGrid w:val="0"/>
        <w:spacing w:line="240" w:lineRule="auto"/>
        <w:rPr>
          <w:rFonts w:hint="eastAsia"/>
          <w:color w:val="auto"/>
          <w:highlight w:val="none"/>
        </w:rPr>
      </w:pPr>
      <w:r>
        <w:rPr>
          <w:rFonts w:hint="eastAsia"/>
          <w:color w:val="auto"/>
          <w:highlight w:val="none"/>
        </w:rPr>
        <w:t>7.1 中标候选人公示</w:t>
      </w:r>
    </w:p>
    <w:p w14:paraId="531AA0CE">
      <w:pPr>
        <w:adjustRightInd w:val="0"/>
        <w:snapToGrid w:val="0"/>
        <w:spacing w:line="240" w:lineRule="auto"/>
        <w:ind w:firstLine="484" w:firstLineChars="202"/>
        <w:rPr>
          <w:rFonts w:hint="eastAsia" w:hAnsi="宋体" w:cs="宋体"/>
          <w:bCs/>
          <w:color w:val="auto"/>
          <w:szCs w:val="21"/>
          <w:highlight w:val="none"/>
        </w:rPr>
      </w:pPr>
      <w:r>
        <w:rPr>
          <w:rFonts w:hint="eastAsia" w:hAnsi="宋体" w:cs="宋体"/>
          <w:bCs/>
          <w:color w:val="auto"/>
          <w:szCs w:val="21"/>
          <w:highlight w:val="none"/>
        </w:rPr>
        <w:t>招标人在收到评标报告之日起3日内，按照投标人须知前附表规定的公示媒介和期限依法公示中标候选人，公示期不得少于3日。</w:t>
      </w:r>
    </w:p>
    <w:p w14:paraId="2C9CDB40">
      <w:pPr>
        <w:pStyle w:val="4"/>
        <w:snapToGrid w:val="0"/>
        <w:spacing w:line="240" w:lineRule="auto"/>
        <w:rPr>
          <w:rFonts w:hint="eastAsia"/>
          <w:color w:val="auto"/>
          <w:highlight w:val="none"/>
        </w:rPr>
      </w:pPr>
      <w:r>
        <w:rPr>
          <w:rFonts w:hint="eastAsia"/>
          <w:color w:val="auto"/>
          <w:highlight w:val="none"/>
        </w:rPr>
        <w:t>7.2 评标结果异议</w:t>
      </w:r>
    </w:p>
    <w:p w14:paraId="03995062">
      <w:pPr>
        <w:adjustRightInd w:val="0"/>
        <w:snapToGrid w:val="0"/>
        <w:spacing w:line="240" w:lineRule="auto"/>
        <w:ind w:firstLine="480" w:firstLineChars="200"/>
        <w:rPr>
          <w:rFonts w:hint="eastAsia" w:hAnsi="宋体" w:cs="宋体"/>
          <w:color w:val="auto"/>
          <w:highlight w:val="none"/>
        </w:rPr>
      </w:pPr>
      <w:r>
        <w:rPr>
          <w:rFonts w:hint="eastAsia" w:hAnsi="宋体" w:cs="宋体"/>
          <w:bCs/>
          <w:color w:val="auto"/>
          <w:szCs w:val="21"/>
          <w:highlight w:val="none"/>
        </w:rPr>
        <w:t>投标人或其他利害关系人对评标结果有异议的，应在中标候选人公示期间提出。招标人将在收到异议之日起3日内作出答复；作出答复前，将暂停招标投标活动。</w:t>
      </w:r>
    </w:p>
    <w:p w14:paraId="257A76C6">
      <w:pPr>
        <w:pStyle w:val="4"/>
        <w:snapToGrid w:val="0"/>
        <w:spacing w:line="240" w:lineRule="auto"/>
        <w:rPr>
          <w:rFonts w:hint="eastAsia"/>
          <w:color w:val="auto"/>
          <w:highlight w:val="none"/>
        </w:rPr>
      </w:pPr>
      <w:r>
        <w:rPr>
          <w:rFonts w:hint="eastAsia"/>
          <w:color w:val="auto"/>
          <w:highlight w:val="none"/>
        </w:rPr>
        <w:t>7.3 中标候选人履约能力审查</w:t>
      </w:r>
    </w:p>
    <w:p w14:paraId="68569432">
      <w:pPr>
        <w:adjustRightInd w:val="0"/>
        <w:snapToGrid w:val="0"/>
        <w:spacing w:line="240" w:lineRule="auto"/>
        <w:ind w:firstLine="484" w:firstLineChars="202"/>
        <w:rPr>
          <w:rFonts w:hint="eastAsia" w:hAnsi="宋体" w:cs="宋体"/>
          <w:bCs/>
          <w:color w:val="auto"/>
          <w:szCs w:val="21"/>
          <w:highlight w:val="none"/>
        </w:rPr>
      </w:pPr>
      <w:r>
        <w:rPr>
          <w:rFonts w:hint="eastAsia" w:hAnsi="宋体" w:cs="宋体"/>
          <w:bCs/>
          <w:color w:val="auto"/>
          <w:szCs w:val="21"/>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56D79ED3">
      <w:pPr>
        <w:pStyle w:val="4"/>
        <w:snapToGrid w:val="0"/>
        <w:spacing w:line="240" w:lineRule="auto"/>
        <w:rPr>
          <w:rFonts w:hint="eastAsia"/>
          <w:color w:val="auto"/>
          <w:highlight w:val="none"/>
        </w:rPr>
      </w:pPr>
      <w:r>
        <w:rPr>
          <w:rFonts w:hint="eastAsia"/>
          <w:color w:val="auto"/>
          <w:highlight w:val="none"/>
        </w:rPr>
        <w:t>7.4 定标</w:t>
      </w:r>
    </w:p>
    <w:p w14:paraId="6F3FF0D8">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0744D79">
      <w:pPr>
        <w:pStyle w:val="4"/>
        <w:snapToGrid w:val="0"/>
        <w:spacing w:line="240" w:lineRule="auto"/>
        <w:rPr>
          <w:rFonts w:hint="eastAsia"/>
          <w:color w:val="auto"/>
          <w:highlight w:val="none"/>
        </w:rPr>
      </w:pPr>
      <w:bookmarkStart w:id="106" w:name="_Toc144974536"/>
      <w:bookmarkStart w:id="107" w:name="_Toc152045568"/>
      <w:bookmarkStart w:id="108" w:name="_Toc179632586"/>
      <w:bookmarkStart w:id="109" w:name="_Toc152042344"/>
      <w:r>
        <w:rPr>
          <w:rFonts w:hint="eastAsia"/>
          <w:color w:val="auto"/>
          <w:highlight w:val="none"/>
        </w:rPr>
        <w:t>7.5 中标通知</w:t>
      </w:r>
      <w:bookmarkEnd w:id="106"/>
      <w:bookmarkEnd w:id="107"/>
      <w:bookmarkEnd w:id="108"/>
      <w:bookmarkEnd w:id="109"/>
    </w:p>
    <w:p w14:paraId="64B47DF4">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在本章第3.3款规定的投标有效期内，招标人以投标人须知前附表规定的形式向中标人发出中标通知书，同时将中标结果通知未中标的投标人。</w:t>
      </w:r>
    </w:p>
    <w:p w14:paraId="15DC0BDE">
      <w:pPr>
        <w:pStyle w:val="4"/>
        <w:snapToGrid w:val="0"/>
        <w:spacing w:line="240" w:lineRule="auto"/>
        <w:rPr>
          <w:rFonts w:hint="eastAsia"/>
          <w:color w:val="auto"/>
          <w:highlight w:val="none"/>
        </w:rPr>
      </w:pPr>
      <w:r>
        <w:rPr>
          <w:rFonts w:hint="eastAsia"/>
          <w:color w:val="auto"/>
          <w:highlight w:val="none"/>
        </w:rPr>
        <w:t>7.6 中标结果公示</w:t>
      </w:r>
    </w:p>
    <w:p w14:paraId="257A3543">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bCs/>
          <w:color w:val="auto"/>
          <w:szCs w:val="21"/>
          <w:highlight w:val="none"/>
        </w:rPr>
        <w:t>招标人在确定中标人之日起3日内，按照投标人须知前附表规定的公示媒介和期限依法公示中标结果。</w:t>
      </w:r>
    </w:p>
    <w:p w14:paraId="42A7AA69">
      <w:pPr>
        <w:pStyle w:val="4"/>
        <w:snapToGrid w:val="0"/>
        <w:spacing w:line="240" w:lineRule="auto"/>
        <w:rPr>
          <w:rFonts w:hint="eastAsia"/>
          <w:color w:val="auto"/>
          <w:highlight w:val="none"/>
        </w:rPr>
      </w:pPr>
      <w:bookmarkStart w:id="110" w:name="_Toc144974537"/>
      <w:bookmarkStart w:id="111" w:name="_Toc179632587"/>
      <w:bookmarkStart w:id="112" w:name="_Toc152045569"/>
      <w:bookmarkStart w:id="113" w:name="_Toc152042345"/>
      <w:r>
        <w:rPr>
          <w:rFonts w:hint="eastAsia"/>
          <w:color w:val="auto"/>
          <w:highlight w:val="none"/>
        </w:rPr>
        <w:t>7.7 履约保证金</w:t>
      </w:r>
      <w:bookmarkEnd w:id="110"/>
      <w:bookmarkEnd w:id="111"/>
      <w:bookmarkEnd w:id="112"/>
      <w:bookmarkEnd w:id="113"/>
    </w:p>
    <w:p w14:paraId="56B5AA57">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 xml:space="preserve">7.7.1 </w:t>
      </w:r>
      <w:r>
        <w:rPr>
          <w:rFonts w:hint="eastAsia" w:hAnsi="宋体" w:cs="宋体"/>
          <w:bCs/>
          <w:color w:val="auto"/>
          <w:szCs w:val="21"/>
          <w:highlight w:val="none"/>
        </w:rPr>
        <w:t>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60D802C5">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7.7.2 中标人不能按本章第7.7.1项要求提交履约保证金的，视为放弃中标，其投标保证金不予退还，给招标人造成的损失超过投标保证金数额的，中标人还应当对超过部分予以赔偿。</w:t>
      </w:r>
    </w:p>
    <w:p w14:paraId="42350EB2">
      <w:pPr>
        <w:pStyle w:val="4"/>
        <w:snapToGrid w:val="0"/>
        <w:spacing w:line="240" w:lineRule="auto"/>
        <w:rPr>
          <w:rFonts w:hint="eastAsia"/>
          <w:color w:val="auto"/>
          <w:highlight w:val="none"/>
        </w:rPr>
      </w:pPr>
      <w:bookmarkStart w:id="114" w:name="_Toc152042346"/>
      <w:bookmarkStart w:id="115" w:name="_Toc152045570"/>
      <w:bookmarkStart w:id="116" w:name="_Toc144974538"/>
      <w:bookmarkStart w:id="117" w:name="_Toc179632588"/>
      <w:r>
        <w:rPr>
          <w:rFonts w:hint="eastAsia"/>
          <w:color w:val="auto"/>
          <w:highlight w:val="none"/>
        </w:rPr>
        <w:t>7.8 签订合同</w:t>
      </w:r>
      <w:bookmarkEnd w:id="114"/>
      <w:bookmarkEnd w:id="115"/>
      <w:bookmarkEnd w:id="116"/>
      <w:bookmarkEnd w:id="117"/>
    </w:p>
    <w:p w14:paraId="5F633DAC">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 xml:space="preserve">7.8.1 </w:t>
      </w:r>
      <w:r>
        <w:rPr>
          <w:rFonts w:hint="eastAsia" w:hAnsi="宋体" w:cs="宋体"/>
          <w:bCs/>
          <w:color w:val="auto"/>
          <w:szCs w:val="21"/>
          <w:highlight w:val="none"/>
        </w:rPr>
        <w:t>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5D6970C8">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 xml:space="preserve">7.8.2 </w:t>
      </w:r>
      <w:r>
        <w:rPr>
          <w:rFonts w:hint="eastAsia" w:hAnsi="宋体" w:cs="宋体"/>
          <w:bCs/>
          <w:color w:val="auto"/>
          <w:szCs w:val="21"/>
          <w:highlight w:val="none"/>
        </w:rPr>
        <w:t>发出中标通知书后，招标人无正当理由拒签合同，或者在签订合同时向中标人提出附加条件的，招标人向中标人退还投标保证金；给中标人造成损失的，还应当赔偿损失。</w:t>
      </w:r>
    </w:p>
    <w:p w14:paraId="5658BFCE">
      <w:pPr>
        <w:adjustRightInd w:val="0"/>
        <w:snapToGrid w:val="0"/>
        <w:spacing w:line="240" w:lineRule="auto"/>
        <w:ind w:firstLine="480" w:firstLineChars="200"/>
        <w:rPr>
          <w:rFonts w:hint="eastAsia" w:hAnsi="宋体" w:cs="宋体"/>
          <w:bCs/>
          <w:color w:val="auto"/>
          <w:szCs w:val="21"/>
          <w:highlight w:val="none"/>
        </w:rPr>
      </w:pPr>
      <w:r>
        <w:rPr>
          <w:rFonts w:hint="eastAsia" w:hAnsi="宋体" w:cs="宋体"/>
          <w:color w:val="auto"/>
          <w:highlight w:val="none"/>
        </w:rPr>
        <w:t xml:space="preserve">7.8.3 </w:t>
      </w:r>
      <w:r>
        <w:rPr>
          <w:rFonts w:hint="eastAsia" w:hAnsi="宋体" w:cs="宋体"/>
          <w:bCs/>
          <w:color w:val="auto"/>
          <w:szCs w:val="21"/>
          <w:highlight w:val="none"/>
        </w:rPr>
        <w:t>联合体中标的，联合体各方应当共同与招标人签订合同，就中标项目向招标人承担连带责任。</w:t>
      </w:r>
    </w:p>
    <w:p w14:paraId="393E685B">
      <w:pPr>
        <w:pStyle w:val="3"/>
        <w:adjustRightInd w:val="0"/>
        <w:snapToGrid w:val="0"/>
        <w:spacing w:before="0" w:after="0" w:line="240" w:lineRule="auto"/>
        <w:rPr>
          <w:rFonts w:hint="eastAsia" w:ascii="宋体" w:hAnsi="宋体" w:cs="宋体"/>
          <w:color w:val="auto"/>
          <w:highlight w:val="none"/>
        </w:rPr>
      </w:pPr>
      <w:bookmarkStart w:id="118" w:name="_Toc179632589"/>
      <w:bookmarkStart w:id="119" w:name="_Toc152045571"/>
      <w:bookmarkStart w:id="120" w:name="_Toc15687"/>
      <w:bookmarkStart w:id="121" w:name="_Toc152042347"/>
      <w:bookmarkStart w:id="122" w:name="_Toc38879331"/>
      <w:bookmarkStart w:id="123" w:name="_Toc144974539"/>
      <w:bookmarkStart w:id="124" w:name="_Toc24479"/>
      <w:r>
        <w:rPr>
          <w:rFonts w:hint="eastAsia" w:ascii="宋体" w:hAnsi="宋体" w:cs="宋体"/>
          <w:color w:val="auto"/>
          <w:highlight w:val="none"/>
        </w:rPr>
        <w:t>8. 重新招标和不再招标</w:t>
      </w:r>
      <w:bookmarkEnd w:id="118"/>
      <w:bookmarkEnd w:id="119"/>
      <w:bookmarkEnd w:id="120"/>
      <w:bookmarkEnd w:id="121"/>
      <w:bookmarkEnd w:id="122"/>
      <w:bookmarkEnd w:id="123"/>
      <w:bookmarkEnd w:id="124"/>
    </w:p>
    <w:p w14:paraId="55879B4E">
      <w:pPr>
        <w:pStyle w:val="4"/>
        <w:snapToGrid w:val="0"/>
        <w:spacing w:line="240" w:lineRule="auto"/>
        <w:rPr>
          <w:rFonts w:hint="eastAsia"/>
          <w:color w:val="auto"/>
          <w:highlight w:val="none"/>
        </w:rPr>
      </w:pPr>
      <w:bookmarkStart w:id="125" w:name="_Toc152042348"/>
      <w:bookmarkStart w:id="126" w:name="_Toc179632590"/>
      <w:bookmarkStart w:id="127" w:name="_Toc144974540"/>
      <w:bookmarkStart w:id="128" w:name="_Toc152045572"/>
      <w:r>
        <w:rPr>
          <w:rFonts w:hint="eastAsia"/>
          <w:color w:val="auto"/>
          <w:highlight w:val="none"/>
        </w:rPr>
        <w:t>8.1 重新招标</w:t>
      </w:r>
      <w:bookmarkEnd w:id="125"/>
      <w:bookmarkEnd w:id="126"/>
      <w:bookmarkEnd w:id="127"/>
      <w:bookmarkEnd w:id="128"/>
    </w:p>
    <w:p w14:paraId="22D3C934">
      <w:pPr>
        <w:adjustRightInd w:val="0"/>
        <w:snapToGrid w:val="0"/>
        <w:spacing w:line="240" w:lineRule="auto"/>
        <w:ind w:firstLine="410" w:firstLineChars="171"/>
        <w:rPr>
          <w:rFonts w:hint="eastAsia" w:hAnsi="宋体" w:cs="宋体"/>
          <w:color w:val="auto"/>
          <w:highlight w:val="none"/>
        </w:rPr>
      </w:pPr>
      <w:r>
        <w:rPr>
          <w:rFonts w:hint="eastAsia" w:hAnsi="宋体" w:cs="宋体"/>
          <w:color w:val="auto"/>
          <w:highlight w:val="none"/>
        </w:rPr>
        <w:t>依法必须招标的项目有下列情形之一的，招标人将重新招标：</w:t>
      </w:r>
    </w:p>
    <w:p w14:paraId="6A896679">
      <w:pPr>
        <w:adjustRightInd w:val="0"/>
        <w:snapToGrid w:val="0"/>
        <w:spacing w:line="240" w:lineRule="auto"/>
        <w:ind w:firstLine="410" w:firstLineChars="171"/>
        <w:rPr>
          <w:rFonts w:hint="eastAsia" w:hAnsi="宋体" w:cs="宋体"/>
          <w:color w:val="auto"/>
          <w:highlight w:val="none"/>
        </w:rPr>
      </w:pPr>
      <w:r>
        <w:rPr>
          <w:rFonts w:hint="eastAsia" w:hAnsi="宋体" w:cs="宋体"/>
          <w:color w:val="auto"/>
          <w:highlight w:val="none"/>
        </w:rPr>
        <w:t>（1）投标截止时间止，投标人少于3个的；</w:t>
      </w:r>
    </w:p>
    <w:p w14:paraId="32AAD727">
      <w:pPr>
        <w:adjustRightInd w:val="0"/>
        <w:snapToGrid w:val="0"/>
        <w:spacing w:line="240" w:lineRule="auto"/>
        <w:ind w:firstLine="410" w:firstLineChars="171"/>
        <w:rPr>
          <w:rFonts w:hint="eastAsia" w:hAnsi="宋体" w:cs="宋体"/>
          <w:color w:val="auto"/>
          <w:highlight w:val="none"/>
        </w:rPr>
      </w:pPr>
      <w:r>
        <w:rPr>
          <w:rFonts w:hint="eastAsia" w:hAnsi="宋体" w:cs="宋体"/>
          <w:color w:val="auto"/>
          <w:highlight w:val="none"/>
        </w:rPr>
        <w:t>（2）经评标委员会评审后否决所有投标的；</w:t>
      </w:r>
    </w:p>
    <w:p w14:paraId="56FD40E3">
      <w:pPr>
        <w:adjustRightInd w:val="0"/>
        <w:snapToGrid w:val="0"/>
        <w:spacing w:line="240" w:lineRule="auto"/>
        <w:ind w:firstLine="410" w:firstLineChars="171"/>
        <w:rPr>
          <w:rFonts w:hint="eastAsia" w:hAnsi="宋体" w:cs="宋体"/>
          <w:bCs/>
          <w:color w:val="auto"/>
          <w:szCs w:val="21"/>
          <w:highlight w:val="none"/>
        </w:rPr>
      </w:pPr>
      <w:r>
        <w:rPr>
          <w:rFonts w:hint="eastAsia" w:hAnsi="宋体" w:cs="宋体"/>
          <w:bCs/>
          <w:color w:val="auto"/>
          <w:szCs w:val="21"/>
          <w:highlight w:val="none"/>
        </w:rPr>
        <w:t>（3）中标候选人均未与招标人签订合同的；</w:t>
      </w:r>
    </w:p>
    <w:p w14:paraId="6D95A7DA">
      <w:pPr>
        <w:adjustRightInd w:val="0"/>
        <w:snapToGrid w:val="0"/>
        <w:spacing w:line="240" w:lineRule="auto"/>
        <w:ind w:firstLine="410" w:firstLineChars="171"/>
        <w:rPr>
          <w:rFonts w:hint="eastAsia" w:hAnsi="宋体" w:cs="宋体"/>
          <w:bCs/>
          <w:color w:val="auto"/>
          <w:szCs w:val="21"/>
          <w:highlight w:val="none"/>
        </w:rPr>
      </w:pPr>
      <w:r>
        <w:rPr>
          <w:rFonts w:hint="eastAsia" w:hAnsi="宋体" w:cs="宋体"/>
          <w:bCs/>
          <w:color w:val="auto"/>
          <w:szCs w:val="21"/>
          <w:highlight w:val="none"/>
        </w:rPr>
        <w:t>（4）法律、法规规定的其他情形。</w:t>
      </w:r>
    </w:p>
    <w:p w14:paraId="1C9B994A">
      <w:pPr>
        <w:pStyle w:val="4"/>
        <w:snapToGrid w:val="0"/>
        <w:spacing w:line="240" w:lineRule="auto"/>
        <w:rPr>
          <w:rFonts w:hint="eastAsia"/>
          <w:color w:val="auto"/>
          <w:highlight w:val="none"/>
        </w:rPr>
      </w:pPr>
      <w:bookmarkStart w:id="129" w:name="_Toc144974541"/>
      <w:bookmarkStart w:id="130" w:name="_Toc179632591"/>
      <w:bookmarkStart w:id="131" w:name="_Toc152045573"/>
      <w:bookmarkStart w:id="132" w:name="_Toc152042349"/>
      <w:r>
        <w:rPr>
          <w:rFonts w:hint="eastAsia"/>
          <w:color w:val="auto"/>
          <w:highlight w:val="none"/>
        </w:rPr>
        <w:t>8.2 不再招标</w:t>
      </w:r>
      <w:bookmarkEnd w:id="129"/>
      <w:bookmarkEnd w:id="130"/>
      <w:bookmarkEnd w:id="131"/>
      <w:bookmarkEnd w:id="132"/>
    </w:p>
    <w:p w14:paraId="4A31750F">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重新招标后投标人仍少于3个或者所有投标被否决的，属于必须审批或核准的工程建设项目，经原审批或核准部门批准后不再进行招标。</w:t>
      </w:r>
    </w:p>
    <w:p w14:paraId="3ABE041F">
      <w:pPr>
        <w:pStyle w:val="3"/>
        <w:adjustRightInd w:val="0"/>
        <w:snapToGrid w:val="0"/>
        <w:spacing w:before="0" w:after="0" w:line="240" w:lineRule="auto"/>
        <w:rPr>
          <w:rFonts w:hint="eastAsia" w:ascii="宋体" w:hAnsi="宋体" w:cs="宋体"/>
          <w:color w:val="auto"/>
          <w:highlight w:val="none"/>
        </w:rPr>
      </w:pPr>
      <w:bookmarkStart w:id="133" w:name="_Toc13187"/>
      <w:bookmarkStart w:id="134" w:name="_Toc144974542"/>
      <w:bookmarkStart w:id="135" w:name="_Toc152042350"/>
      <w:bookmarkStart w:id="136" w:name="_Toc38879332"/>
      <w:bookmarkStart w:id="137" w:name="_Toc24412"/>
      <w:bookmarkStart w:id="138" w:name="_Toc152045574"/>
      <w:bookmarkStart w:id="139" w:name="_Toc179632592"/>
      <w:r>
        <w:rPr>
          <w:rFonts w:hint="eastAsia" w:ascii="宋体" w:hAnsi="宋体" w:cs="宋体"/>
          <w:color w:val="auto"/>
          <w:highlight w:val="none"/>
        </w:rPr>
        <w:t>9. 纪律和监督</w:t>
      </w:r>
      <w:bookmarkEnd w:id="133"/>
      <w:bookmarkEnd w:id="134"/>
      <w:bookmarkEnd w:id="135"/>
      <w:bookmarkEnd w:id="136"/>
      <w:bookmarkEnd w:id="137"/>
      <w:bookmarkEnd w:id="138"/>
      <w:bookmarkEnd w:id="139"/>
    </w:p>
    <w:p w14:paraId="6FDAD526">
      <w:pPr>
        <w:pStyle w:val="4"/>
        <w:snapToGrid w:val="0"/>
        <w:spacing w:line="240" w:lineRule="auto"/>
        <w:rPr>
          <w:rFonts w:hint="eastAsia"/>
          <w:color w:val="auto"/>
          <w:highlight w:val="none"/>
        </w:rPr>
      </w:pPr>
      <w:bookmarkStart w:id="140" w:name="_Toc144974543"/>
      <w:bookmarkStart w:id="141" w:name="_Toc179632593"/>
      <w:bookmarkStart w:id="142" w:name="_Toc152042351"/>
      <w:bookmarkStart w:id="143" w:name="_Toc152045575"/>
      <w:r>
        <w:rPr>
          <w:rFonts w:hint="eastAsia"/>
          <w:color w:val="auto"/>
          <w:highlight w:val="none"/>
        </w:rPr>
        <w:t>9.1 对招标人的纪律要求</w:t>
      </w:r>
      <w:bookmarkEnd w:id="140"/>
      <w:bookmarkEnd w:id="141"/>
      <w:bookmarkEnd w:id="142"/>
      <w:bookmarkEnd w:id="143"/>
    </w:p>
    <w:p w14:paraId="3FC7B900">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招标人不得泄漏招标投标活动中应当保密的情况和资料，不得与投标人串通损害国家利益、社会公共利益或者他人合法权益。</w:t>
      </w:r>
    </w:p>
    <w:p w14:paraId="25E07EB5">
      <w:pPr>
        <w:pStyle w:val="4"/>
        <w:snapToGrid w:val="0"/>
        <w:spacing w:line="240" w:lineRule="auto"/>
        <w:rPr>
          <w:rFonts w:hint="eastAsia"/>
          <w:color w:val="auto"/>
          <w:highlight w:val="none"/>
        </w:rPr>
      </w:pPr>
      <w:bookmarkStart w:id="144" w:name="_Toc179632594"/>
      <w:bookmarkStart w:id="145" w:name="_Toc152045576"/>
      <w:bookmarkStart w:id="146" w:name="_Toc152042352"/>
      <w:bookmarkStart w:id="147" w:name="_Toc144974544"/>
      <w:r>
        <w:rPr>
          <w:rFonts w:hint="eastAsia"/>
          <w:color w:val="auto"/>
          <w:highlight w:val="none"/>
        </w:rPr>
        <w:t>9.2 对投标人的纪律要求</w:t>
      </w:r>
      <w:bookmarkEnd w:id="144"/>
      <w:bookmarkEnd w:id="145"/>
      <w:bookmarkEnd w:id="146"/>
      <w:bookmarkEnd w:id="147"/>
    </w:p>
    <w:p w14:paraId="191AA477">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21EF23B3">
      <w:pPr>
        <w:pStyle w:val="4"/>
        <w:snapToGrid w:val="0"/>
        <w:spacing w:line="240" w:lineRule="auto"/>
        <w:rPr>
          <w:rFonts w:hint="eastAsia"/>
          <w:color w:val="auto"/>
          <w:highlight w:val="none"/>
        </w:rPr>
      </w:pPr>
      <w:bookmarkStart w:id="148" w:name="_Toc144974545"/>
      <w:bookmarkStart w:id="149" w:name="_Toc152045577"/>
      <w:bookmarkStart w:id="150" w:name="_Toc179632595"/>
      <w:bookmarkStart w:id="151" w:name="_Toc152042353"/>
      <w:r>
        <w:rPr>
          <w:rFonts w:hint="eastAsia"/>
          <w:color w:val="auto"/>
          <w:highlight w:val="none"/>
        </w:rPr>
        <w:t>9.3 对评标委员会成员的纪律要求</w:t>
      </w:r>
      <w:bookmarkEnd w:id="148"/>
      <w:bookmarkEnd w:id="149"/>
      <w:bookmarkEnd w:id="150"/>
      <w:bookmarkEnd w:id="151"/>
    </w:p>
    <w:p w14:paraId="71C7CEB5">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6E84554F">
      <w:pPr>
        <w:pStyle w:val="4"/>
        <w:snapToGrid w:val="0"/>
        <w:spacing w:line="240" w:lineRule="auto"/>
        <w:rPr>
          <w:rFonts w:hint="eastAsia"/>
          <w:color w:val="auto"/>
          <w:highlight w:val="none"/>
        </w:rPr>
      </w:pPr>
      <w:bookmarkStart w:id="152" w:name="_Toc179632596"/>
      <w:bookmarkStart w:id="153" w:name="_Toc152042354"/>
      <w:bookmarkStart w:id="154" w:name="_Toc152045578"/>
      <w:r>
        <w:rPr>
          <w:rFonts w:hint="eastAsia"/>
          <w:color w:val="auto"/>
          <w:highlight w:val="none"/>
        </w:rPr>
        <w:t>9.4 对与评标活动有关的工作人员的纪律要求</w:t>
      </w:r>
      <w:bookmarkEnd w:id="152"/>
      <w:bookmarkEnd w:id="153"/>
      <w:bookmarkEnd w:id="154"/>
    </w:p>
    <w:p w14:paraId="0BDE564C">
      <w:pPr>
        <w:adjustRightInd w:val="0"/>
        <w:snapToGrid w:val="0"/>
        <w:spacing w:line="240" w:lineRule="auto"/>
        <w:ind w:firstLine="480" w:firstLineChars="200"/>
        <w:rPr>
          <w:rFonts w:hint="eastAsia" w:hAnsi="宋体" w:cs="宋体"/>
          <w:color w:val="auto"/>
          <w:highlight w:val="none"/>
        </w:rPr>
      </w:pPr>
      <w:bookmarkStart w:id="155" w:name="_Toc152042355"/>
      <w:r>
        <w:rPr>
          <w:rFonts w:hint="eastAsia" w:hAnsi="宋体" w:cs="宋体"/>
          <w:color w:val="auto"/>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155"/>
    </w:p>
    <w:p w14:paraId="2B507F4D">
      <w:pPr>
        <w:pStyle w:val="4"/>
        <w:snapToGrid w:val="0"/>
        <w:spacing w:line="240" w:lineRule="auto"/>
        <w:rPr>
          <w:rFonts w:hint="eastAsia"/>
          <w:color w:val="auto"/>
          <w:highlight w:val="none"/>
        </w:rPr>
      </w:pPr>
      <w:bookmarkStart w:id="156" w:name="_Toc152045579"/>
      <w:bookmarkStart w:id="157" w:name="_Toc179632597"/>
      <w:bookmarkStart w:id="158" w:name="_Toc152042356"/>
      <w:r>
        <w:rPr>
          <w:rFonts w:hint="eastAsia"/>
          <w:color w:val="auto"/>
          <w:highlight w:val="none"/>
        </w:rPr>
        <w:t>9.5 投诉</w:t>
      </w:r>
      <w:bookmarkEnd w:id="156"/>
      <w:bookmarkEnd w:id="157"/>
      <w:bookmarkEnd w:id="158"/>
    </w:p>
    <w:p w14:paraId="1605F33B">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 xml:space="preserve">9.5.1 </w:t>
      </w:r>
      <w:r>
        <w:rPr>
          <w:rFonts w:hint="eastAsia" w:hAnsi="宋体" w:cs="宋体"/>
          <w:color w:val="auto"/>
          <w:szCs w:val="21"/>
          <w:highlight w:val="none"/>
        </w:rPr>
        <w:t>投标人或者其他利害关系人认为本次招标活动违反法律、法规和规章规定的，有权向相关行政监督部门投诉。投诉应当有明确的请求和必要的证明材料。</w:t>
      </w:r>
    </w:p>
    <w:p w14:paraId="5275E2BB">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 xml:space="preserve">9.5.2 </w:t>
      </w:r>
      <w:r>
        <w:rPr>
          <w:rFonts w:hint="eastAsia" w:hAnsi="宋体" w:cs="宋体"/>
          <w:bCs/>
          <w:color w:val="auto"/>
          <w:szCs w:val="21"/>
          <w:highlight w:val="none"/>
        </w:rPr>
        <w:t>投标人或者其他利害关系人对招标文件、开标和评标结果提出投诉的，应当按照投标人须知第2.4款、第5.3款和第7.2款的规定先向招标人提出异议。异议答复期间</w:t>
      </w:r>
      <w:bookmarkStart w:id="159" w:name="_Toc384308255"/>
      <w:bookmarkStart w:id="160" w:name="_Toc247527595"/>
      <w:bookmarkStart w:id="161" w:name="_Toc12776"/>
      <w:bookmarkStart w:id="162" w:name="_Toc352691517"/>
      <w:bookmarkStart w:id="163" w:name="_Toc247513994"/>
      <w:bookmarkStart w:id="164" w:name="_Toc361508630"/>
      <w:bookmarkStart w:id="165" w:name="_Toc300834993"/>
      <w:bookmarkStart w:id="166" w:name="_Toc369531561"/>
      <w:r>
        <w:rPr>
          <w:rFonts w:hint="eastAsia" w:hAnsi="宋体" w:cs="宋体"/>
          <w:bCs/>
          <w:color w:val="auto"/>
          <w:szCs w:val="21"/>
          <w:highlight w:val="none"/>
        </w:rPr>
        <w:t>不计算在第9.5.</w:t>
      </w:r>
      <w:bookmarkEnd w:id="159"/>
      <w:bookmarkEnd w:id="160"/>
      <w:bookmarkEnd w:id="161"/>
      <w:bookmarkEnd w:id="162"/>
      <w:bookmarkEnd w:id="163"/>
      <w:bookmarkEnd w:id="164"/>
      <w:bookmarkEnd w:id="165"/>
      <w:bookmarkEnd w:id="166"/>
      <w:r>
        <w:rPr>
          <w:rFonts w:hint="eastAsia" w:hAnsi="宋体" w:cs="宋体"/>
          <w:bCs/>
          <w:color w:val="auto"/>
          <w:szCs w:val="21"/>
          <w:highlight w:val="none"/>
        </w:rPr>
        <w:t>1项规定的期限内。</w:t>
      </w:r>
    </w:p>
    <w:p w14:paraId="4CBD7FF5">
      <w:pPr>
        <w:pStyle w:val="3"/>
        <w:adjustRightInd w:val="0"/>
        <w:snapToGrid w:val="0"/>
        <w:spacing w:before="0" w:after="0" w:line="240" w:lineRule="auto"/>
        <w:rPr>
          <w:rFonts w:hint="eastAsia" w:ascii="宋体" w:hAnsi="宋体" w:cs="宋体"/>
          <w:color w:val="auto"/>
          <w:highlight w:val="none"/>
        </w:rPr>
      </w:pPr>
      <w:bookmarkStart w:id="167" w:name="_Toc152045580"/>
      <w:bookmarkStart w:id="168" w:name="_Toc179632598"/>
      <w:bookmarkStart w:id="169" w:name="_Toc152042357"/>
      <w:bookmarkStart w:id="170" w:name="_Toc144974547"/>
      <w:bookmarkStart w:id="171" w:name="_Toc38879333"/>
      <w:bookmarkStart w:id="172" w:name="_Toc5438"/>
      <w:bookmarkStart w:id="173" w:name="_Toc16018"/>
      <w:r>
        <w:rPr>
          <w:rFonts w:hint="eastAsia" w:ascii="宋体" w:hAnsi="宋体" w:cs="宋体"/>
          <w:color w:val="auto"/>
          <w:highlight w:val="none"/>
        </w:rPr>
        <w:t>10. 需要补充的其他内容</w:t>
      </w:r>
      <w:bookmarkEnd w:id="167"/>
      <w:bookmarkEnd w:id="168"/>
      <w:bookmarkEnd w:id="169"/>
      <w:bookmarkEnd w:id="170"/>
      <w:bookmarkEnd w:id="171"/>
      <w:bookmarkEnd w:id="172"/>
      <w:bookmarkEnd w:id="173"/>
    </w:p>
    <w:p w14:paraId="0185F78A">
      <w:pPr>
        <w:adjustRightInd w:val="0"/>
        <w:snapToGrid w:val="0"/>
        <w:spacing w:line="240" w:lineRule="auto"/>
        <w:ind w:firstLine="480" w:firstLineChars="200"/>
        <w:rPr>
          <w:rFonts w:hint="eastAsia" w:hAnsi="宋体" w:cs="宋体"/>
          <w:color w:val="auto"/>
          <w:highlight w:val="none"/>
        </w:rPr>
      </w:pPr>
      <w:r>
        <w:rPr>
          <w:rFonts w:hint="eastAsia" w:hAnsi="宋体" w:cs="宋体"/>
          <w:color w:val="auto"/>
          <w:highlight w:val="none"/>
        </w:rPr>
        <w:t>需要补充的其他内容：见投标人须知前附表。</w:t>
      </w:r>
    </w:p>
    <w:p w14:paraId="49F75065">
      <w:pPr>
        <w:adjustRightInd w:val="0"/>
        <w:snapToGrid w:val="0"/>
        <w:spacing w:line="240" w:lineRule="auto"/>
        <w:ind w:firstLine="420" w:firstLineChars="200"/>
        <w:rPr>
          <w:rFonts w:hAnsi="宋体" w:cs="宋体"/>
          <w:color w:val="auto"/>
          <w:sz w:val="21"/>
          <w:szCs w:val="21"/>
          <w:highlight w:val="none"/>
        </w:rPr>
      </w:pPr>
    </w:p>
    <w:p w14:paraId="4569DBC4">
      <w:pPr>
        <w:adjustRightInd w:val="0"/>
        <w:snapToGrid w:val="0"/>
        <w:spacing w:line="240" w:lineRule="auto"/>
        <w:rPr>
          <w:rFonts w:hAnsi="宋体" w:cs="宋体"/>
          <w:color w:val="auto"/>
          <w:szCs w:val="22"/>
          <w:highlight w:val="none"/>
        </w:rPr>
      </w:pPr>
      <w:r>
        <w:rPr>
          <w:rFonts w:hint="eastAsia" w:hAnsi="宋体" w:cs="宋体"/>
          <w:color w:val="auto"/>
          <w:szCs w:val="22"/>
          <w:highlight w:val="none"/>
        </w:rPr>
        <w:br w:type="page"/>
      </w:r>
    </w:p>
    <w:p w14:paraId="6B9CB98E">
      <w:pPr>
        <w:pStyle w:val="2"/>
        <w:numPr>
          <w:ilvl w:val="0"/>
          <w:numId w:val="4"/>
        </w:numPr>
        <w:jc w:val="center"/>
        <w:rPr>
          <w:rFonts w:ascii="宋体" w:hAnsi="宋体" w:cs="宋体"/>
          <w:bCs w:val="0"/>
          <w:color w:val="auto"/>
          <w:highlight w:val="none"/>
        </w:rPr>
      </w:pPr>
      <w:r>
        <w:rPr>
          <w:rFonts w:hint="eastAsia" w:ascii="宋体" w:hAnsi="宋体" w:cs="宋体"/>
          <w:bCs w:val="0"/>
          <w:color w:val="auto"/>
          <w:highlight w:val="none"/>
        </w:rPr>
        <w:t xml:space="preserve"> </w:t>
      </w:r>
      <w:bookmarkStart w:id="174" w:name="_Toc126335782"/>
      <w:r>
        <w:rPr>
          <w:rFonts w:hint="eastAsia" w:ascii="宋体" w:hAnsi="宋体" w:cs="宋体"/>
          <w:bCs w:val="0"/>
          <w:color w:val="auto"/>
          <w:highlight w:val="none"/>
        </w:rPr>
        <w:t>评标办法</w:t>
      </w:r>
      <w:bookmarkEnd w:id="174"/>
    </w:p>
    <w:p w14:paraId="4DDC2D30">
      <w:pPr>
        <w:spacing w:line="360" w:lineRule="auto"/>
        <w:ind w:firstLine="472" w:firstLineChars="196"/>
        <w:outlineLvl w:val="1"/>
        <w:rPr>
          <w:rFonts w:hint="eastAsia" w:ascii="宋体" w:hAnsi="宋体"/>
          <w:b/>
          <w:bCs/>
          <w:color w:val="auto"/>
          <w:sz w:val="24"/>
          <w:szCs w:val="28"/>
          <w:highlight w:val="none"/>
        </w:rPr>
      </w:pPr>
      <w:bookmarkStart w:id="175" w:name="_Toc10490"/>
      <w:r>
        <w:rPr>
          <w:rFonts w:hint="eastAsia" w:ascii="宋体" w:hAnsi="宋体"/>
          <w:b/>
          <w:bCs/>
          <w:color w:val="auto"/>
          <w:sz w:val="24"/>
          <w:szCs w:val="28"/>
          <w:highlight w:val="none"/>
        </w:rPr>
        <w:t>一、总则</w:t>
      </w:r>
      <w:bookmarkEnd w:id="175"/>
    </w:p>
    <w:p w14:paraId="1D5588F2">
      <w:pPr>
        <w:spacing w:line="360" w:lineRule="auto"/>
        <w:ind w:firstLine="480"/>
        <w:rPr>
          <w:rFonts w:hint="eastAsia" w:ascii="宋体" w:hAnsi="宋体" w:cs="仿宋"/>
          <w:b/>
          <w:bCs/>
          <w:color w:val="auto"/>
          <w:sz w:val="24"/>
          <w:szCs w:val="28"/>
          <w:highlight w:val="none"/>
        </w:rPr>
      </w:pPr>
      <w:r>
        <w:rPr>
          <w:rFonts w:hint="eastAsia" w:ascii="宋体" w:hAnsi="宋体" w:cs="仿宋"/>
          <w:color w:val="auto"/>
          <w:sz w:val="24"/>
          <w:szCs w:val="28"/>
          <w:highlight w:val="none"/>
        </w:rPr>
        <w:t>为维护招投标双方的合法权益，增加评标工作透明度，保证评标、定标的科学性、公正性和可操作性，根据《招标投标法》、《招标投标法实施条例》、《评标委员会和评标办法暂行规定（七部委12号令）》等法律法规的精神，结合本市实际制定本办法。</w:t>
      </w:r>
      <w:r>
        <w:rPr>
          <w:rFonts w:hint="eastAsia" w:ascii="宋体" w:hAnsi="宋体" w:cs="仿宋"/>
          <w:b/>
          <w:bCs/>
          <w:color w:val="auto"/>
          <w:sz w:val="24"/>
          <w:szCs w:val="28"/>
          <w:highlight w:val="none"/>
        </w:rPr>
        <w:t>本招标文件其它部分与本评标办法不一致的，以本办法的规定为准。</w:t>
      </w:r>
    </w:p>
    <w:p w14:paraId="5E9E57C1">
      <w:pPr>
        <w:spacing w:line="360" w:lineRule="auto"/>
        <w:ind w:firstLine="472" w:firstLineChars="196"/>
        <w:outlineLvl w:val="1"/>
        <w:rPr>
          <w:rFonts w:hint="eastAsia" w:ascii="宋体" w:hAnsi="宋体"/>
          <w:b/>
          <w:bCs/>
          <w:color w:val="auto"/>
          <w:sz w:val="24"/>
          <w:szCs w:val="28"/>
          <w:highlight w:val="none"/>
        </w:rPr>
      </w:pPr>
      <w:bookmarkStart w:id="176" w:name="_Toc9424"/>
      <w:r>
        <w:rPr>
          <w:rFonts w:hint="eastAsia" w:ascii="宋体" w:hAnsi="宋体"/>
          <w:b/>
          <w:bCs/>
          <w:color w:val="auto"/>
          <w:sz w:val="24"/>
          <w:szCs w:val="28"/>
          <w:highlight w:val="none"/>
        </w:rPr>
        <w:t>二、评标程序</w:t>
      </w:r>
      <w:bookmarkEnd w:id="176"/>
    </w:p>
    <w:p w14:paraId="030A8CAC">
      <w:pPr>
        <w:spacing w:line="360" w:lineRule="auto"/>
        <w:ind w:firstLine="482" w:firstLineChars="200"/>
        <w:rPr>
          <w:rFonts w:hint="eastAsia" w:ascii="宋体" w:hAnsi="宋体" w:cs="仿宋"/>
          <w:color w:val="auto"/>
          <w:sz w:val="24"/>
          <w:szCs w:val="28"/>
          <w:highlight w:val="none"/>
        </w:rPr>
      </w:pPr>
      <w:r>
        <w:rPr>
          <w:rFonts w:hint="eastAsia" w:ascii="宋体" w:hAnsi="宋体" w:cs="仿宋"/>
          <w:b/>
          <w:bCs/>
          <w:color w:val="auto"/>
          <w:sz w:val="24"/>
          <w:szCs w:val="28"/>
          <w:highlight w:val="none"/>
        </w:rPr>
        <w:t>2.1</w:t>
      </w:r>
      <w:r>
        <w:rPr>
          <w:rFonts w:hint="eastAsia" w:ascii="宋体" w:hAnsi="宋体" w:cs="仿宋"/>
          <w:color w:val="auto"/>
          <w:sz w:val="24"/>
          <w:szCs w:val="28"/>
          <w:highlight w:val="none"/>
        </w:rPr>
        <w:t>评标委员会按照投标资格审查、技术部分评审、商务部分评审、企业信用评审的顺序依次进行评审。前一顺序评审通过的方可进行下一顺序评审，已进入下一顺序评审的，评审委员会不得再对前面顺序评审的结果进行重新复核。</w:t>
      </w:r>
    </w:p>
    <w:p w14:paraId="561CAEF1">
      <w:pPr>
        <w:spacing w:line="360" w:lineRule="auto"/>
        <w:ind w:firstLine="482" w:firstLineChars="200"/>
        <w:rPr>
          <w:rFonts w:hint="eastAsia" w:ascii="宋体" w:hAnsi="宋体" w:cs="仿宋"/>
          <w:b/>
          <w:bCs/>
          <w:color w:val="auto"/>
          <w:sz w:val="24"/>
          <w:szCs w:val="28"/>
          <w:highlight w:val="none"/>
        </w:rPr>
      </w:pPr>
      <w:r>
        <w:rPr>
          <w:rFonts w:hint="eastAsia" w:ascii="宋体" w:hAnsi="宋体" w:cs="仿宋"/>
          <w:b/>
          <w:bCs/>
          <w:color w:val="auto"/>
          <w:sz w:val="24"/>
          <w:szCs w:val="28"/>
          <w:highlight w:val="none"/>
        </w:rPr>
        <w:t>2.2</w:t>
      </w:r>
      <w:r>
        <w:rPr>
          <w:rFonts w:hint="eastAsia" w:ascii="宋体" w:hAnsi="宋体" w:cs="仿宋"/>
          <w:color w:val="auto"/>
          <w:sz w:val="24"/>
          <w:szCs w:val="28"/>
          <w:highlight w:val="none"/>
        </w:rPr>
        <w:t>评标委员会对招标文件及评标方法中存在模糊不清、不易理解的内容，可要求招标人或代理机构现场解释澄清。解释澄清的内容合理的，评委会应当接受；解释澄清的内容超出了招标文件字面含义、违背了相关法律法规的，评委会应当拒绝并根据自己的专业素质做出判断。</w:t>
      </w:r>
    </w:p>
    <w:p w14:paraId="669B4EC0">
      <w:pPr>
        <w:spacing w:line="360" w:lineRule="auto"/>
        <w:ind w:firstLine="480" w:firstLineChars="200"/>
        <w:rPr>
          <w:rFonts w:hint="eastAsia" w:ascii="宋体" w:hAnsi="宋体" w:cs="仿宋"/>
          <w:color w:val="auto"/>
          <w:sz w:val="24"/>
          <w:szCs w:val="28"/>
          <w:highlight w:val="none"/>
        </w:rPr>
      </w:pPr>
      <w:r>
        <w:rPr>
          <w:rFonts w:hint="eastAsia" w:ascii="宋体" w:hAnsi="宋体" w:cs="仿宋"/>
          <w:color w:val="auto"/>
          <w:sz w:val="24"/>
          <w:szCs w:val="28"/>
          <w:highlight w:val="none"/>
        </w:rPr>
        <w:t>2.3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C2D476A">
      <w:pPr>
        <w:spacing w:line="360" w:lineRule="auto"/>
        <w:ind w:firstLine="480" w:firstLineChars="200"/>
        <w:rPr>
          <w:rFonts w:hint="eastAsia" w:ascii="宋体" w:hAnsi="宋体" w:cs="仿宋"/>
          <w:color w:val="auto"/>
          <w:sz w:val="28"/>
          <w:szCs w:val="28"/>
          <w:highlight w:val="none"/>
        </w:rPr>
      </w:pPr>
      <w:r>
        <w:rPr>
          <w:rFonts w:hint="eastAsia" w:ascii="宋体" w:hAnsi="宋体" w:cs="仿宋"/>
          <w:color w:val="auto"/>
          <w:sz w:val="24"/>
          <w:szCs w:val="28"/>
          <w:highlight w:val="none"/>
        </w:rPr>
        <w:t>2.4流标的项目，评标委员会除应在评标报告上说明认定项目流标的理由外，还应分析流标产生的可能原因、招标文件有无不合理条款，并提出预防再次流标的措施和建议。</w:t>
      </w:r>
    </w:p>
    <w:p w14:paraId="4DE08B75">
      <w:pPr>
        <w:spacing w:line="360" w:lineRule="auto"/>
        <w:ind w:firstLine="472" w:firstLineChars="196"/>
        <w:outlineLvl w:val="1"/>
        <w:rPr>
          <w:rFonts w:hint="eastAsia" w:ascii="宋体" w:hAnsi="宋体"/>
          <w:b/>
          <w:bCs/>
          <w:color w:val="auto"/>
          <w:sz w:val="24"/>
          <w:szCs w:val="28"/>
          <w:highlight w:val="none"/>
        </w:rPr>
      </w:pPr>
      <w:bookmarkStart w:id="177" w:name="_Toc30073"/>
      <w:r>
        <w:rPr>
          <w:rFonts w:hint="eastAsia" w:ascii="宋体" w:hAnsi="宋体"/>
          <w:b/>
          <w:bCs/>
          <w:color w:val="auto"/>
          <w:sz w:val="24"/>
          <w:szCs w:val="28"/>
          <w:highlight w:val="none"/>
        </w:rPr>
        <w:t>三、资格评审（资格审查）</w:t>
      </w:r>
      <w:bookmarkEnd w:id="177"/>
    </w:p>
    <w:tbl>
      <w:tblPr>
        <w:tblStyle w:val="54"/>
        <w:tblW w:w="0" w:type="auto"/>
        <w:tblCellSpacing w:w="0" w:type="dxa"/>
        <w:tblInd w:w="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4"/>
        <w:gridCol w:w="1916"/>
        <w:gridCol w:w="4147"/>
        <w:gridCol w:w="2680"/>
      </w:tblGrid>
      <w:tr w14:paraId="272B8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CellSpacing w:w="0" w:type="dxa"/>
        </w:trPr>
        <w:tc>
          <w:tcPr>
            <w:tcW w:w="524" w:type="dxa"/>
            <w:noWrap w:val="0"/>
            <w:vAlign w:val="center"/>
          </w:tcPr>
          <w:p w14:paraId="56F03E85">
            <w:pPr>
              <w:widowControl/>
              <w:spacing w:line="360" w:lineRule="auto"/>
              <w:jc w:val="center"/>
              <w:rPr>
                <w:rFonts w:hint="eastAsia" w:hAnsi="宋体"/>
                <w:b/>
                <w:color w:val="auto"/>
                <w:highlight w:val="none"/>
              </w:rPr>
            </w:pPr>
            <w:r>
              <w:rPr>
                <w:rFonts w:hint="eastAsia" w:hAnsi="宋体"/>
                <w:b/>
                <w:color w:val="auto"/>
                <w:highlight w:val="none"/>
              </w:rPr>
              <w:t>序</w:t>
            </w:r>
          </w:p>
          <w:p w14:paraId="0C68C657">
            <w:pPr>
              <w:widowControl/>
              <w:spacing w:line="360" w:lineRule="auto"/>
              <w:jc w:val="center"/>
              <w:rPr>
                <w:rFonts w:hint="eastAsia" w:hAnsi="宋体"/>
                <w:b/>
                <w:color w:val="auto"/>
                <w:highlight w:val="none"/>
              </w:rPr>
            </w:pPr>
            <w:r>
              <w:rPr>
                <w:rFonts w:hint="eastAsia" w:hAnsi="宋体"/>
                <w:b/>
                <w:color w:val="auto"/>
                <w:highlight w:val="none"/>
              </w:rPr>
              <w:t>号</w:t>
            </w:r>
          </w:p>
        </w:tc>
        <w:tc>
          <w:tcPr>
            <w:tcW w:w="1916" w:type="dxa"/>
            <w:noWrap w:val="0"/>
            <w:vAlign w:val="center"/>
          </w:tcPr>
          <w:p w14:paraId="2BEB98F1">
            <w:pPr>
              <w:widowControl/>
              <w:spacing w:line="360" w:lineRule="auto"/>
              <w:jc w:val="center"/>
              <w:rPr>
                <w:rFonts w:hint="eastAsia" w:hAnsi="宋体"/>
                <w:b/>
                <w:color w:val="auto"/>
                <w:highlight w:val="none"/>
              </w:rPr>
            </w:pPr>
            <w:r>
              <w:rPr>
                <w:rFonts w:hint="eastAsia" w:hAnsi="宋体"/>
                <w:b/>
                <w:color w:val="auto"/>
                <w:highlight w:val="none"/>
              </w:rPr>
              <w:t>评审项目</w:t>
            </w:r>
          </w:p>
        </w:tc>
        <w:tc>
          <w:tcPr>
            <w:tcW w:w="4147" w:type="dxa"/>
            <w:noWrap w:val="0"/>
            <w:vAlign w:val="center"/>
          </w:tcPr>
          <w:p w14:paraId="22968842">
            <w:pPr>
              <w:widowControl/>
              <w:spacing w:line="360" w:lineRule="auto"/>
              <w:jc w:val="center"/>
              <w:rPr>
                <w:rFonts w:hint="eastAsia" w:hAnsi="宋体"/>
                <w:b/>
                <w:color w:val="auto"/>
                <w:highlight w:val="none"/>
              </w:rPr>
            </w:pPr>
            <w:r>
              <w:rPr>
                <w:rFonts w:hint="eastAsia" w:hAnsi="宋体"/>
                <w:b/>
                <w:color w:val="auto"/>
                <w:highlight w:val="none"/>
              </w:rPr>
              <w:t>证明材料</w:t>
            </w:r>
          </w:p>
        </w:tc>
        <w:tc>
          <w:tcPr>
            <w:tcW w:w="2680" w:type="dxa"/>
            <w:noWrap w:val="0"/>
            <w:vAlign w:val="center"/>
          </w:tcPr>
          <w:p w14:paraId="782C0042">
            <w:pPr>
              <w:widowControl/>
              <w:spacing w:line="360" w:lineRule="auto"/>
              <w:jc w:val="center"/>
              <w:rPr>
                <w:rFonts w:hint="eastAsia" w:hAnsi="宋体"/>
                <w:b/>
                <w:color w:val="auto"/>
                <w:highlight w:val="none"/>
              </w:rPr>
            </w:pPr>
            <w:r>
              <w:rPr>
                <w:rFonts w:hint="eastAsia" w:hAnsi="宋体"/>
                <w:b/>
                <w:color w:val="auto"/>
                <w:highlight w:val="none"/>
              </w:rPr>
              <w:t>情况说明</w:t>
            </w:r>
          </w:p>
        </w:tc>
      </w:tr>
      <w:tr w14:paraId="1459F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CellSpacing w:w="0" w:type="dxa"/>
        </w:trPr>
        <w:tc>
          <w:tcPr>
            <w:tcW w:w="524" w:type="dxa"/>
            <w:noWrap w:val="0"/>
            <w:vAlign w:val="center"/>
          </w:tcPr>
          <w:p w14:paraId="2C6853CA">
            <w:pPr>
              <w:widowControl/>
              <w:spacing w:line="360" w:lineRule="auto"/>
              <w:jc w:val="center"/>
              <w:rPr>
                <w:rFonts w:hint="eastAsia" w:hAnsi="宋体"/>
                <w:color w:val="auto"/>
                <w:highlight w:val="none"/>
              </w:rPr>
            </w:pPr>
            <w:r>
              <w:rPr>
                <w:rFonts w:hint="eastAsia" w:hAnsi="宋体"/>
                <w:color w:val="auto"/>
                <w:highlight w:val="none"/>
              </w:rPr>
              <w:t>1</w:t>
            </w:r>
          </w:p>
        </w:tc>
        <w:tc>
          <w:tcPr>
            <w:tcW w:w="1916" w:type="dxa"/>
            <w:noWrap w:val="0"/>
            <w:vAlign w:val="center"/>
          </w:tcPr>
          <w:p w14:paraId="6868C7C2">
            <w:pPr>
              <w:widowControl/>
              <w:spacing w:line="360" w:lineRule="auto"/>
              <w:jc w:val="left"/>
              <w:rPr>
                <w:rFonts w:hint="eastAsia" w:hAnsi="宋体"/>
                <w:color w:val="auto"/>
                <w:highlight w:val="none"/>
              </w:rPr>
            </w:pPr>
            <w:r>
              <w:rPr>
                <w:rFonts w:hint="eastAsia" w:hAnsi="宋体"/>
                <w:color w:val="auto"/>
                <w:highlight w:val="none"/>
              </w:rPr>
              <w:t>企业资质</w:t>
            </w:r>
          </w:p>
        </w:tc>
        <w:tc>
          <w:tcPr>
            <w:tcW w:w="4147" w:type="dxa"/>
            <w:noWrap w:val="0"/>
            <w:vAlign w:val="center"/>
          </w:tcPr>
          <w:p w14:paraId="19CF47A4">
            <w:pPr>
              <w:widowControl/>
              <w:spacing w:line="360" w:lineRule="auto"/>
              <w:jc w:val="left"/>
              <w:rPr>
                <w:rFonts w:hint="eastAsia" w:hAnsi="宋体"/>
                <w:color w:val="auto"/>
                <w:highlight w:val="none"/>
              </w:rPr>
            </w:pPr>
            <w:r>
              <w:rPr>
                <w:rFonts w:hint="eastAsia" w:hAnsi="宋体"/>
                <w:color w:val="auto"/>
                <w:highlight w:val="none"/>
              </w:rPr>
              <w:t>按附录1要求提供材料</w:t>
            </w:r>
          </w:p>
        </w:tc>
        <w:tc>
          <w:tcPr>
            <w:tcW w:w="2680" w:type="dxa"/>
            <w:noWrap w:val="0"/>
            <w:vAlign w:val="center"/>
          </w:tcPr>
          <w:p w14:paraId="5CF17863">
            <w:pPr>
              <w:widowControl/>
              <w:spacing w:line="360" w:lineRule="auto"/>
              <w:jc w:val="left"/>
              <w:rPr>
                <w:rFonts w:hint="eastAsia" w:hAnsi="宋体"/>
                <w:color w:val="auto"/>
                <w:highlight w:val="none"/>
              </w:rPr>
            </w:pPr>
          </w:p>
        </w:tc>
      </w:tr>
      <w:tr w14:paraId="26B99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CellSpacing w:w="0" w:type="dxa"/>
        </w:trPr>
        <w:tc>
          <w:tcPr>
            <w:tcW w:w="524" w:type="dxa"/>
            <w:noWrap w:val="0"/>
            <w:vAlign w:val="center"/>
          </w:tcPr>
          <w:p w14:paraId="6AA182AE">
            <w:pPr>
              <w:widowControl/>
              <w:spacing w:line="360" w:lineRule="auto"/>
              <w:jc w:val="center"/>
              <w:rPr>
                <w:rFonts w:hint="eastAsia" w:hAnsi="宋体"/>
                <w:color w:val="auto"/>
                <w:highlight w:val="none"/>
              </w:rPr>
            </w:pPr>
            <w:r>
              <w:rPr>
                <w:rFonts w:hint="eastAsia" w:hAnsi="宋体"/>
                <w:color w:val="auto"/>
                <w:highlight w:val="none"/>
              </w:rPr>
              <w:t>2</w:t>
            </w:r>
          </w:p>
        </w:tc>
        <w:tc>
          <w:tcPr>
            <w:tcW w:w="1916" w:type="dxa"/>
            <w:noWrap w:val="0"/>
            <w:vAlign w:val="center"/>
          </w:tcPr>
          <w:p w14:paraId="4D0CF6BC">
            <w:pPr>
              <w:widowControl/>
              <w:spacing w:line="360" w:lineRule="auto"/>
              <w:jc w:val="left"/>
              <w:rPr>
                <w:rFonts w:hint="eastAsia" w:hAnsi="宋体"/>
                <w:color w:val="auto"/>
                <w:highlight w:val="none"/>
              </w:rPr>
            </w:pPr>
            <w:r>
              <w:rPr>
                <w:rFonts w:hint="eastAsia" w:hAnsi="宋体"/>
                <w:color w:val="auto"/>
                <w:highlight w:val="none"/>
              </w:rPr>
              <w:t>项目负责人</w:t>
            </w:r>
          </w:p>
        </w:tc>
        <w:tc>
          <w:tcPr>
            <w:tcW w:w="4147" w:type="dxa"/>
            <w:noWrap w:val="0"/>
            <w:vAlign w:val="center"/>
          </w:tcPr>
          <w:p w14:paraId="471F75B6">
            <w:pPr>
              <w:widowControl/>
              <w:spacing w:line="360" w:lineRule="auto"/>
              <w:jc w:val="left"/>
              <w:rPr>
                <w:rFonts w:hint="eastAsia" w:hAnsi="宋体"/>
                <w:color w:val="auto"/>
                <w:highlight w:val="none"/>
              </w:rPr>
            </w:pPr>
            <w:r>
              <w:rPr>
                <w:rFonts w:hint="eastAsia" w:hAnsi="宋体"/>
                <w:color w:val="auto"/>
                <w:highlight w:val="none"/>
              </w:rPr>
              <w:t>按附录3要求提供材料</w:t>
            </w:r>
          </w:p>
        </w:tc>
        <w:tc>
          <w:tcPr>
            <w:tcW w:w="2680" w:type="dxa"/>
            <w:noWrap w:val="0"/>
            <w:vAlign w:val="center"/>
          </w:tcPr>
          <w:p w14:paraId="7B86FFBB">
            <w:pPr>
              <w:widowControl/>
              <w:spacing w:line="360" w:lineRule="auto"/>
              <w:jc w:val="left"/>
              <w:rPr>
                <w:rFonts w:hint="eastAsia" w:hAnsi="宋体"/>
                <w:color w:val="auto"/>
                <w:highlight w:val="none"/>
              </w:rPr>
            </w:pPr>
          </w:p>
        </w:tc>
      </w:tr>
      <w:tr w14:paraId="5F6A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CellSpacing w:w="0" w:type="dxa"/>
        </w:trPr>
        <w:tc>
          <w:tcPr>
            <w:tcW w:w="524" w:type="dxa"/>
            <w:noWrap w:val="0"/>
            <w:vAlign w:val="center"/>
          </w:tcPr>
          <w:p w14:paraId="5887A327">
            <w:pPr>
              <w:widowControl/>
              <w:spacing w:line="360" w:lineRule="auto"/>
              <w:jc w:val="center"/>
              <w:rPr>
                <w:rFonts w:hint="eastAsia" w:hAnsi="宋体"/>
                <w:color w:val="auto"/>
                <w:highlight w:val="none"/>
              </w:rPr>
            </w:pPr>
            <w:r>
              <w:rPr>
                <w:rFonts w:hint="eastAsia" w:hAnsi="宋体"/>
                <w:color w:val="auto"/>
                <w:highlight w:val="none"/>
              </w:rPr>
              <w:t>3</w:t>
            </w:r>
          </w:p>
        </w:tc>
        <w:tc>
          <w:tcPr>
            <w:tcW w:w="1916" w:type="dxa"/>
            <w:noWrap w:val="0"/>
            <w:vAlign w:val="center"/>
          </w:tcPr>
          <w:p w14:paraId="1477268F">
            <w:pPr>
              <w:widowControl/>
              <w:spacing w:line="360" w:lineRule="auto"/>
              <w:jc w:val="left"/>
              <w:rPr>
                <w:rFonts w:hint="eastAsia" w:hAnsi="宋体"/>
                <w:color w:val="auto"/>
                <w:highlight w:val="none"/>
              </w:rPr>
            </w:pPr>
            <w:r>
              <w:rPr>
                <w:rFonts w:hint="eastAsia" w:hAnsi="宋体"/>
                <w:color w:val="auto"/>
                <w:highlight w:val="none"/>
              </w:rPr>
              <w:t>诚信承诺书</w:t>
            </w:r>
          </w:p>
        </w:tc>
        <w:tc>
          <w:tcPr>
            <w:tcW w:w="4147" w:type="dxa"/>
            <w:noWrap w:val="0"/>
            <w:vAlign w:val="center"/>
          </w:tcPr>
          <w:p w14:paraId="63F72271">
            <w:pPr>
              <w:widowControl/>
              <w:spacing w:line="360" w:lineRule="auto"/>
              <w:jc w:val="left"/>
              <w:rPr>
                <w:rFonts w:hint="eastAsia" w:hAnsi="宋体"/>
                <w:color w:val="auto"/>
                <w:highlight w:val="none"/>
              </w:rPr>
            </w:pPr>
            <w:r>
              <w:rPr>
                <w:rFonts w:hint="eastAsia" w:hAnsi="宋体"/>
                <w:color w:val="auto"/>
                <w:highlight w:val="none"/>
              </w:rPr>
              <w:t>无投标人须知前附表及投标人须知1.4.3、1.4.4 规定的不得投标的关联关系、不良状况和不良信用记录</w:t>
            </w:r>
          </w:p>
        </w:tc>
        <w:tc>
          <w:tcPr>
            <w:tcW w:w="2680" w:type="dxa"/>
            <w:noWrap w:val="0"/>
            <w:vAlign w:val="center"/>
          </w:tcPr>
          <w:p w14:paraId="0FA2700A">
            <w:pPr>
              <w:widowControl/>
              <w:spacing w:line="360" w:lineRule="auto"/>
              <w:jc w:val="left"/>
              <w:rPr>
                <w:rFonts w:hint="eastAsia" w:hAnsi="宋体"/>
                <w:color w:val="auto"/>
                <w:highlight w:val="none"/>
              </w:rPr>
            </w:pPr>
            <w:r>
              <w:rPr>
                <w:rFonts w:hint="eastAsia" w:hAnsi="宋体"/>
                <w:color w:val="auto"/>
                <w:highlight w:val="none"/>
              </w:rPr>
              <w:t>需按给定的格式填写、签章</w:t>
            </w:r>
          </w:p>
        </w:tc>
      </w:tr>
      <w:tr w14:paraId="4B233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CellSpacing w:w="0" w:type="dxa"/>
        </w:trPr>
        <w:tc>
          <w:tcPr>
            <w:tcW w:w="524" w:type="dxa"/>
            <w:noWrap w:val="0"/>
            <w:vAlign w:val="center"/>
          </w:tcPr>
          <w:p w14:paraId="12EABC2A">
            <w:pPr>
              <w:widowControl/>
              <w:spacing w:line="360" w:lineRule="auto"/>
              <w:jc w:val="center"/>
              <w:rPr>
                <w:rFonts w:hAnsi="宋体"/>
                <w:color w:val="auto"/>
                <w:highlight w:val="none"/>
              </w:rPr>
            </w:pPr>
            <w:r>
              <w:rPr>
                <w:rFonts w:hint="eastAsia" w:hAnsi="宋体"/>
                <w:color w:val="auto"/>
                <w:highlight w:val="none"/>
              </w:rPr>
              <w:t>4</w:t>
            </w:r>
          </w:p>
        </w:tc>
        <w:tc>
          <w:tcPr>
            <w:tcW w:w="1916" w:type="dxa"/>
            <w:noWrap w:val="0"/>
            <w:vAlign w:val="center"/>
          </w:tcPr>
          <w:p w14:paraId="3B1DF180">
            <w:pPr>
              <w:widowControl/>
              <w:spacing w:line="360" w:lineRule="auto"/>
              <w:jc w:val="left"/>
              <w:rPr>
                <w:rFonts w:hint="eastAsia" w:hAnsi="宋体"/>
                <w:color w:val="auto"/>
                <w:highlight w:val="none"/>
              </w:rPr>
            </w:pPr>
            <w:r>
              <w:rPr>
                <w:rFonts w:hint="eastAsia" w:hAnsi="宋体"/>
                <w:color w:val="auto"/>
                <w:highlight w:val="none"/>
              </w:rPr>
              <w:t>授权委托书、法定代表人身份证明书</w:t>
            </w:r>
          </w:p>
        </w:tc>
        <w:tc>
          <w:tcPr>
            <w:tcW w:w="4147" w:type="dxa"/>
            <w:noWrap w:val="0"/>
            <w:vAlign w:val="center"/>
          </w:tcPr>
          <w:p w14:paraId="2DE04597">
            <w:pPr>
              <w:widowControl/>
              <w:spacing w:line="360" w:lineRule="auto"/>
              <w:jc w:val="left"/>
              <w:rPr>
                <w:rFonts w:hint="eastAsia" w:hAnsi="宋体"/>
                <w:color w:val="auto"/>
                <w:highlight w:val="none"/>
              </w:rPr>
            </w:pPr>
            <w:r>
              <w:rPr>
                <w:rFonts w:hint="eastAsia" w:hAnsi="宋体"/>
                <w:color w:val="auto"/>
                <w:highlight w:val="none"/>
              </w:rPr>
              <w:t>非法定代表人的，提供授权委托书；法人到场的，无需授权委托书。</w:t>
            </w:r>
          </w:p>
        </w:tc>
        <w:tc>
          <w:tcPr>
            <w:tcW w:w="2680" w:type="dxa"/>
            <w:noWrap w:val="0"/>
            <w:vAlign w:val="center"/>
          </w:tcPr>
          <w:p w14:paraId="28466A65">
            <w:pPr>
              <w:widowControl/>
              <w:spacing w:line="360" w:lineRule="auto"/>
              <w:jc w:val="left"/>
              <w:rPr>
                <w:rFonts w:hint="eastAsia" w:hAnsi="宋体"/>
                <w:color w:val="auto"/>
                <w:highlight w:val="none"/>
              </w:rPr>
            </w:pPr>
            <w:r>
              <w:rPr>
                <w:rFonts w:hint="eastAsia" w:hAnsi="宋体"/>
                <w:color w:val="auto"/>
                <w:highlight w:val="none"/>
              </w:rPr>
              <w:t>需按给定的格式填写、签章</w:t>
            </w:r>
          </w:p>
        </w:tc>
      </w:tr>
      <w:tr w14:paraId="424B5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CellSpacing w:w="0" w:type="dxa"/>
        </w:trPr>
        <w:tc>
          <w:tcPr>
            <w:tcW w:w="524" w:type="dxa"/>
            <w:noWrap w:val="0"/>
            <w:vAlign w:val="center"/>
          </w:tcPr>
          <w:p w14:paraId="66E1C05D">
            <w:pPr>
              <w:widowControl/>
              <w:spacing w:line="360" w:lineRule="auto"/>
              <w:jc w:val="center"/>
              <w:rPr>
                <w:rFonts w:hint="eastAsia" w:hAnsi="宋体" w:eastAsia="宋体"/>
                <w:color w:val="auto"/>
                <w:highlight w:val="none"/>
                <w:lang w:val="en-US" w:eastAsia="zh-CN"/>
              </w:rPr>
            </w:pPr>
            <w:r>
              <w:rPr>
                <w:rFonts w:hint="eastAsia" w:hAnsi="宋体"/>
                <w:color w:val="auto"/>
                <w:highlight w:val="none"/>
                <w:lang w:val="en-US" w:eastAsia="zh-CN"/>
              </w:rPr>
              <w:t>5</w:t>
            </w:r>
          </w:p>
        </w:tc>
        <w:tc>
          <w:tcPr>
            <w:tcW w:w="1916" w:type="dxa"/>
            <w:noWrap w:val="0"/>
            <w:vAlign w:val="center"/>
          </w:tcPr>
          <w:p w14:paraId="4313D16B">
            <w:pPr>
              <w:widowControl/>
              <w:spacing w:line="360" w:lineRule="auto"/>
              <w:jc w:val="left"/>
              <w:rPr>
                <w:rFonts w:hint="default" w:hAnsi="宋体" w:eastAsia="宋体"/>
                <w:color w:val="auto"/>
                <w:highlight w:val="none"/>
                <w:lang w:val="en-US" w:eastAsia="zh-CN"/>
              </w:rPr>
            </w:pPr>
            <w:r>
              <w:rPr>
                <w:rFonts w:hint="eastAsia" w:hAnsi="宋体"/>
                <w:color w:val="auto"/>
                <w:highlight w:val="none"/>
                <w:lang w:val="en-US" w:eastAsia="zh-CN"/>
              </w:rPr>
              <w:t>企业业绩</w:t>
            </w:r>
          </w:p>
        </w:tc>
        <w:tc>
          <w:tcPr>
            <w:tcW w:w="4147" w:type="dxa"/>
            <w:shd w:val="clear" w:color="auto" w:fill="auto"/>
            <w:noWrap w:val="0"/>
            <w:vAlign w:val="center"/>
          </w:tcPr>
          <w:p w14:paraId="34B3F9E7">
            <w:pPr>
              <w:widowControl/>
              <w:spacing w:line="360" w:lineRule="auto"/>
              <w:jc w:val="left"/>
              <w:rPr>
                <w:rFonts w:hint="eastAsia" w:ascii="宋体" w:hAnsi="宋体" w:eastAsia="宋体" w:cs="Times New Roman"/>
                <w:color w:val="auto"/>
                <w:sz w:val="24"/>
                <w:highlight w:val="none"/>
                <w:lang w:val="en-US" w:eastAsia="zh-CN" w:bidi="ar-SA"/>
              </w:rPr>
            </w:pPr>
            <w:r>
              <w:rPr>
                <w:rFonts w:hint="eastAsia" w:hAnsi="宋体"/>
                <w:color w:val="auto"/>
                <w:highlight w:val="none"/>
              </w:rPr>
              <w:t>按附录</w:t>
            </w:r>
            <w:r>
              <w:rPr>
                <w:rFonts w:hint="eastAsia" w:hAnsi="宋体"/>
                <w:color w:val="auto"/>
                <w:highlight w:val="none"/>
                <w:lang w:val="en-US" w:eastAsia="zh-CN"/>
              </w:rPr>
              <w:t>2</w:t>
            </w:r>
            <w:r>
              <w:rPr>
                <w:rFonts w:hint="eastAsia" w:hAnsi="宋体"/>
                <w:color w:val="auto"/>
                <w:highlight w:val="none"/>
              </w:rPr>
              <w:t>要求提供材料</w:t>
            </w:r>
          </w:p>
        </w:tc>
        <w:tc>
          <w:tcPr>
            <w:tcW w:w="2680" w:type="dxa"/>
            <w:noWrap w:val="0"/>
            <w:vAlign w:val="center"/>
          </w:tcPr>
          <w:p w14:paraId="732CAD19">
            <w:pPr>
              <w:widowControl/>
              <w:spacing w:line="360" w:lineRule="auto"/>
              <w:jc w:val="left"/>
              <w:rPr>
                <w:rFonts w:hint="eastAsia" w:hAnsi="宋体"/>
                <w:color w:val="auto"/>
                <w:highlight w:val="none"/>
              </w:rPr>
            </w:pPr>
          </w:p>
        </w:tc>
      </w:tr>
    </w:tbl>
    <w:p w14:paraId="168C992D">
      <w:pPr>
        <w:widowControl/>
        <w:spacing w:line="360" w:lineRule="auto"/>
        <w:jc w:val="left"/>
        <w:rPr>
          <w:rFonts w:hint="eastAsia" w:ascii="宋体" w:hAnsi="宋体" w:cs="仿宋"/>
          <w:color w:val="auto"/>
          <w:sz w:val="24"/>
          <w:highlight w:val="none"/>
        </w:rPr>
      </w:pPr>
      <w:r>
        <w:rPr>
          <w:rFonts w:hint="eastAsia" w:ascii="宋体" w:hAnsi="宋体" w:cs="仿宋"/>
          <w:color w:val="auto"/>
          <w:sz w:val="24"/>
          <w:highlight w:val="none"/>
        </w:rPr>
        <w:t>备注：（1）以上各项中有一项不符合即为不合格。</w:t>
      </w:r>
    </w:p>
    <w:p w14:paraId="2CD1FB8B">
      <w:pPr>
        <w:widowControl/>
        <w:spacing w:line="360" w:lineRule="auto"/>
        <w:jc w:val="left"/>
        <w:rPr>
          <w:rFonts w:hint="eastAsia" w:ascii="宋体" w:hAnsi="宋体" w:cs="仿宋"/>
          <w:color w:val="auto"/>
          <w:sz w:val="24"/>
          <w:highlight w:val="none"/>
        </w:rPr>
      </w:pPr>
      <w:r>
        <w:rPr>
          <w:rFonts w:hint="eastAsia" w:ascii="宋体" w:hAnsi="宋体" w:cs="仿宋"/>
          <w:color w:val="auto"/>
          <w:sz w:val="24"/>
          <w:highlight w:val="none"/>
        </w:rPr>
        <w:t>（2）各类资质证书、合同、验收报告、营业执照、企业及人员资质等级证书等均不要求投标人提供原件。</w:t>
      </w:r>
    </w:p>
    <w:p w14:paraId="6CFD5E12">
      <w:pPr>
        <w:widowControl/>
        <w:spacing w:line="360" w:lineRule="auto"/>
        <w:jc w:val="left"/>
        <w:rPr>
          <w:rFonts w:hint="eastAsia" w:ascii="宋体" w:hAnsi="宋体" w:cs="仿宋"/>
          <w:color w:val="auto"/>
          <w:sz w:val="24"/>
          <w:highlight w:val="none"/>
        </w:rPr>
      </w:pPr>
      <w:r>
        <w:rPr>
          <w:rFonts w:hint="eastAsia" w:ascii="宋体" w:hAnsi="宋体" w:cs="仿宋"/>
          <w:color w:val="auto"/>
          <w:sz w:val="24"/>
          <w:highlight w:val="none"/>
        </w:rPr>
        <w:t>（3）招标文件规定的不得投标、不得推荐为中标候选人的不良行为记录及失信行为均不需投标人提供相关证明材料，只需按投标文件规定格式填写并提交《诚信承诺书》即可。</w:t>
      </w:r>
    </w:p>
    <w:p w14:paraId="7FBEF45C">
      <w:pPr>
        <w:widowControl/>
        <w:spacing w:line="360" w:lineRule="auto"/>
        <w:jc w:val="left"/>
        <w:outlineLvl w:val="1"/>
        <w:rPr>
          <w:rFonts w:hint="eastAsia" w:ascii="宋体" w:hAnsi="宋体"/>
          <w:b/>
          <w:bCs/>
          <w:color w:val="auto"/>
          <w:sz w:val="24"/>
          <w:highlight w:val="none"/>
        </w:rPr>
      </w:pPr>
      <w:bookmarkStart w:id="178" w:name="_Toc4270"/>
      <w:r>
        <w:rPr>
          <w:rFonts w:hint="eastAsia" w:ascii="宋体" w:hAnsi="宋体"/>
          <w:b/>
          <w:bCs/>
          <w:color w:val="auto"/>
          <w:sz w:val="24"/>
          <w:highlight w:val="none"/>
        </w:rPr>
        <w:t>四、投标文件技术部分及商务部分评审</w:t>
      </w:r>
      <w:bookmarkEnd w:id="178"/>
    </w:p>
    <w:p w14:paraId="439CAD56">
      <w:pPr>
        <w:spacing w:line="360" w:lineRule="auto"/>
        <w:rPr>
          <w:rFonts w:hAnsi="宋体" w:cs="宋体"/>
          <w:b/>
          <w:color w:val="auto"/>
          <w:highlight w:val="none"/>
        </w:rPr>
      </w:pPr>
      <w:r>
        <w:rPr>
          <w:rFonts w:hint="eastAsia" w:hAnsi="宋体" w:cs="宋体"/>
          <w:b/>
          <w:color w:val="auto"/>
          <w:highlight w:val="none"/>
        </w:rPr>
        <w:t>4.技术标评审（满分</w:t>
      </w:r>
      <w:r>
        <w:rPr>
          <w:rFonts w:hint="eastAsia" w:hAnsi="宋体" w:cs="宋体"/>
          <w:b/>
          <w:color w:val="auto"/>
          <w:highlight w:val="none"/>
          <w:lang w:val="en-US" w:eastAsia="zh-CN"/>
        </w:rPr>
        <w:t>70</w:t>
      </w:r>
      <w:r>
        <w:rPr>
          <w:rFonts w:hint="eastAsia" w:hAnsi="宋体" w:cs="宋体"/>
          <w:b/>
          <w:color w:val="auto"/>
          <w:highlight w:val="none"/>
        </w:rPr>
        <w:t>分）</w:t>
      </w:r>
    </w:p>
    <w:p w14:paraId="1F5EEA63">
      <w:pPr>
        <w:tabs>
          <w:tab w:val="left" w:pos="945"/>
        </w:tabs>
        <w:snapToGrid w:val="0"/>
        <w:spacing w:line="360" w:lineRule="auto"/>
        <w:ind w:firstLine="480" w:firstLineChars="200"/>
        <w:outlineLvl w:val="3"/>
        <w:rPr>
          <w:rFonts w:hAnsi="宋体" w:cs="宋体"/>
          <w:color w:val="auto"/>
          <w:highlight w:val="none"/>
        </w:rPr>
      </w:pPr>
      <w:r>
        <w:rPr>
          <w:rFonts w:hint="eastAsia" w:hAnsi="宋体" w:cs="宋体"/>
          <w:color w:val="auto"/>
          <w:highlight w:val="none"/>
        </w:rPr>
        <w:t>由评标委员会对通过投标资格评审的投标人的技术标书进行综合性评审，具体评分细则及评分细则说明内容如下：</w:t>
      </w:r>
    </w:p>
    <w:p w14:paraId="4FCF4F55">
      <w:pPr>
        <w:tabs>
          <w:tab w:val="left" w:pos="945"/>
        </w:tabs>
        <w:snapToGrid w:val="0"/>
        <w:spacing w:line="360" w:lineRule="auto"/>
        <w:jc w:val="center"/>
        <w:outlineLvl w:val="3"/>
        <w:rPr>
          <w:rFonts w:hint="eastAsia" w:hAnsi="宋体" w:cs="宋体"/>
          <w:b/>
          <w:bCs/>
          <w:color w:val="auto"/>
          <w:highlight w:val="none"/>
        </w:rPr>
      </w:pPr>
      <w:r>
        <w:rPr>
          <w:rFonts w:hint="eastAsia" w:hAnsi="宋体" w:cs="宋体"/>
          <w:b/>
          <w:bCs/>
          <w:color w:val="auto"/>
          <w:highlight w:val="none"/>
        </w:rPr>
        <w:t>【Ⅰ】检测方案评分细则（满分</w:t>
      </w:r>
      <w:r>
        <w:rPr>
          <w:rFonts w:hint="eastAsia" w:hAnsi="宋体" w:cs="宋体"/>
          <w:b/>
          <w:bCs/>
          <w:color w:val="auto"/>
          <w:highlight w:val="none"/>
          <w:lang w:val="en-US" w:eastAsia="zh-CN"/>
        </w:rPr>
        <w:t>30</w:t>
      </w:r>
      <w:r>
        <w:rPr>
          <w:rFonts w:hint="eastAsia" w:hAnsi="宋体" w:cs="宋体"/>
          <w:b/>
          <w:bCs/>
          <w:color w:val="auto"/>
          <w:highlight w:val="none"/>
        </w:rPr>
        <w:t>分）</w:t>
      </w:r>
    </w:p>
    <w:tbl>
      <w:tblPr>
        <w:tblStyle w:val="54"/>
        <w:tblW w:w="98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0"/>
        <w:gridCol w:w="1146"/>
        <w:gridCol w:w="900"/>
        <w:gridCol w:w="7189"/>
      </w:tblGrid>
      <w:tr w14:paraId="1DB9BC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660" w:type="dxa"/>
            <w:noWrap w:val="0"/>
            <w:vAlign w:val="top"/>
          </w:tcPr>
          <w:p w14:paraId="67D8C46A">
            <w:pPr>
              <w:pStyle w:val="327"/>
              <w:spacing w:before="102" w:line="237" w:lineRule="exact"/>
              <w:ind w:left="106" w:right="104"/>
              <w:jc w:val="center"/>
              <w:rPr>
                <w:rFonts w:cs="Times New Roman"/>
                <w:b/>
                <w:bCs/>
                <w:color w:val="auto"/>
                <w:sz w:val="24"/>
                <w:szCs w:val="24"/>
                <w:highlight w:val="none"/>
              </w:rPr>
            </w:pPr>
            <w:r>
              <w:rPr>
                <w:rFonts w:hint="eastAsia"/>
                <w:b/>
                <w:bCs/>
                <w:color w:val="auto"/>
                <w:sz w:val="24"/>
                <w:szCs w:val="24"/>
                <w:highlight w:val="none"/>
              </w:rPr>
              <w:t>序号</w:t>
            </w:r>
          </w:p>
        </w:tc>
        <w:tc>
          <w:tcPr>
            <w:tcW w:w="1146" w:type="dxa"/>
            <w:noWrap w:val="0"/>
            <w:vAlign w:val="top"/>
          </w:tcPr>
          <w:p w14:paraId="58204FD6">
            <w:pPr>
              <w:pStyle w:val="327"/>
              <w:spacing w:before="102" w:line="237" w:lineRule="exact"/>
              <w:ind w:right="144"/>
              <w:jc w:val="center"/>
              <w:rPr>
                <w:rFonts w:cs="Times New Roman"/>
                <w:b/>
                <w:bCs/>
                <w:color w:val="auto"/>
                <w:sz w:val="24"/>
                <w:szCs w:val="24"/>
                <w:highlight w:val="none"/>
              </w:rPr>
            </w:pPr>
            <w:r>
              <w:rPr>
                <w:rFonts w:hint="eastAsia"/>
                <w:b/>
                <w:bCs/>
                <w:color w:val="auto"/>
                <w:sz w:val="24"/>
                <w:szCs w:val="24"/>
                <w:highlight w:val="none"/>
              </w:rPr>
              <w:t>评分项目</w:t>
            </w:r>
          </w:p>
        </w:tc>
        <w:tc>
          <w:tcPr>
            <w:tcW w:w="900" w:type="dxa"/>
            <w:noWrap w:val="0"/>
            <w:vAlign w:val="top"/>
          </w:tcPr>
          <w:p w14:paraId="0A128A5E">
            <w:pPr>
              <w:pStyle w:val="327"/>
              <w:spacing w:before="102" w:line="237" w:lineRule="exact"/>
              <w:ind w:right="125"/>
              <w:jc w:val="center"/>
              <w:rPr>
                <w:rFonts w:cs="Times New Roman"/>
                <w:b/>
                <w:bCs/>
                <w:color w:val="auto"/>
                <w:sz w:val="24"/>
                <w:szCs w:val="24"/>
                <w:highlight w:val="none"/>
              </w:rPr>
            </w:pPr>
            <w:r>
              <w:rPr>
                <w:rFonts w:hint="eastAsia"/>
                <w:b/>
                <w:bCs/>
                <w:color w:val="auto"/>
                <w:sz w:val="24"/>
                <w:szCs w:val="24"/>
                <w:highlight w:val="none"/>
              </w:rPr>
              <w:t>总分值</w:t>
            </w:r>
          </w:p>
        </w:tc>
        <w:tc>
          <w:tcPr>
            <w:tcW w:w="7189" w:type="dxa"/>
            <w:noWrap w:val="0"/>
            <w:vAlign w:val="top"/>
          </w:tcPr>
          <w:p w14:paraId="0CD4E848">
            <w:pPr>
              <w:pStyle w:val="327"/>
              <w:spacing w:before="102" w:line="237" w:lineRule="exact"/>
              <w:ind w:left="1679" w:right="1679"/>
              <w:jc w:val="center"/>
              <w:rPr>
                <w:rFonts w:cs="Times New Roman"/>
                <w:b/>
                <w:bCs/>
                <w:color w:val="auto"/>
                <w:sz w:val="24"/>
                <w:szCs w:val="24"/>
                <w:highlight w:val="none"/>
              </w:rPr>
            </w:pPr>
            <w:r>
              <w:rPr>
                <w:rFonts w:hint="eastAsia"/>
                <w:b/>
                <w:bCs/>
                <w:color w:val="auto"/>
                <w:sz w:val="24"/>
                <w:szCs w:val="24"/>
                <w:highlight w:val="none"/>
              </w:rPr>
              <w:t>评分标准</w:t>
            </w:r>
          </w:p>
        </w:tc>
      </w:tr>
      <w:tr w14:paraId="002F04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6" w:hRule="atLeast"/>
          <w:jc w:val="center"/>
        </w:trPr>
        <w:tc>
          <w:tcPr>
            <w:tcW w:w="660" w:type="dxa"/>
            <w:noWrap w:val="0"/>
            <w:vAlign w:val="center"/>
          </w:tcPr>
          <w:p w14:paraId="18613A7C">
            <w:pPr>
              <w:pStyle w:val="327"/>
              <w:jc w:val="center"/>
              <w:rPr>
                <w:rFonts w:cs="Times New Roman"/>
                <w:color w:val="auto"/>
                <w:sz w:val="24"/>
                <w:szCs w:val="24"/>
                <w:highlight w:val="none"/>
              </w:rPr>
            </w:pPr>
            <w:r>
              <w:rPr>
                <w:color w:val="auto"/>
                <w:w w:val="99"/>
                <w:sz w:val="24"/>
                <w:szCs w:val="24"/>
                <w:highlight w:val="none"/>
              </w:rPr>
              <w:t>1</w:t>
            </w:r>
          </w:p>
        </w:tc>
        <w:tc>
          <w:tcPr>
            <w:tcW w:w="1146" w:type="dxa"/>
            <w:noWrap w:val="0"/>
            <w:vAlign w:val="center"/>
          </w:tcPr>
          <w:p w14:paraId="573CF3D9">
            <w:pPr>
              <w:pStyle w:val="327"/>
              <w:spacing w:line="336" w:lineRule="auto"/>
              <w:ind w:left="4" w:right="57" w:firstLine="103"/>
              <w:jc w:val="center"/>
              <w:rPr>
                <w:color w:val="auto"/>
                <w:sz w:val="24"/>
                <w:szCs w:val="24"/>
                <w:highlight w:val="none"/>
                <w:lang w:val="en-US"/>
              </w:rPr>
            </w:pPr>
            <w:r>
              <w:rPr>
                <w:rFonts w:hint="eastAsia"/>
                <w:color w:val="auto"/>
                <w:sz w:val="24"/>
                <w:szCs w:val="24"/>
                <w:highlight w:val="none"/>
                <w:lang w:val="en-US"/>
              </w:rPr>
              <w:t>项目理解程度</w:t>
            </w:r>
          </w:p>
        </w:tc>
        <w:tc>
          <w:tcPr>
            <w:tcW w:w="900" w:type="dxa"/>
            <w:noWrap w:val="0"/>
            <w:vAlign w:val="center"/>
          </w:tcPr>
          <w:p w14:paraId="7354F217">
            <w:pPr>
              <w:pStyle w:val="327"/>
              <w:ind w:right="119"/>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6</w:t>
            </w:r>
          </w:p>
        </w:tc>
        <w:tc>
          <w:tcPr>
            <w:tcW w:w="7189" w:type="dxa"/>
            <w:noWrap w:val="0"/>
            <w:vAlign w:val="center"/>
          </w:tcPr>
          <w:p w14:paraId="703A9439">
            <w:pPr>
              <w:pStyle w:val="242"/>
              <w:widowControl w:val="0"/>
              <w:spacing w:line="360" w:lineRule="exact"/>
              <w:jc w:val="both"/>
              <w:rPr>
                <w:rFonts w:hint="default"/>
                <w:b w:val="0"/>
                <w:color w:val="auto"/>
                <w:sz w:val="24"/>
                <w:szCs w:val="24"/>
                <w:highlight w:val="none"/>
              </w:rPr>
            </w:pPr>
            <w:r>
              <w:rPr>
                <w:rFonts w:hint="default" w:hAnsi="宋体" w:cs="宋体"/>
                <w:b w:val="0"/>
                <w:color w:val="auto"/>
                <w:sz w:val="24"/>
                <w:szCs w:val="24"/>
                <w:highlight w:val="none"/>
              </w:rPr>
              <w:t>对项目现场周边自然条件、现状基本情况、现状</w:t>
            </w:r>
            <w:r>
              <w:rPr>
                <w:rFonts w:hint="eastAsia" w:hAnsi="宋体" w:cs="宋体"/>
                <w:b w:val="0"/>
                <w:color w:val="auto"/>
                <w:sz w:val="24"/>
                <w:szCs w:val="24"/>
                <w:highlight w:val="none"/>
                <w:lang w:val="en-US" w:eastAsia="zh-CN"/>
              </w:rPr>
              <w:t>管网、检查井等</w:t>
            </w:r>
            <w:r>
              <w:rPr>
                <w:rFonts w:hint="default" w:hAnsi="宋体" w:cs="宋体"/>
                <w:b w:val="0"/>
                <w:color w:val="auto"/>
                <w:sz w:val="24"/>
                <w:szCs w:val="24"/>
                <w:highlight w:val="none"/>
              </w:rPr>
              <w:t>设施进行综合分析,分析是否全面、是否深入细致，进行综合评定，横向比较，分档评分：对项目理解准确、全面、详细、可操作性强、针对性强的得</w:t>
            </w:r>
            <w:r>
              <w:rPr>
                <w:rFonts w:hint="eastAsia" w:hAnsi="宋体" w:cs="宋体"/>
                <w:b w:val="0"/>
                <w:color w:val="auto"/>
                <w:sz w:val="24"/>
                <w:szCs w:val="24"/>
                <w:highlight w:val="none"/>
                <w:lang w:val="en-US" w:eastAsia="zh-CN"/>
              </w:rPr>
              <w:t>6</w:t>
            </w:r>
            <w:r>
              <w:rPr>
                <w:rFonts w:hint="default" w:hAnsi="宋体" w:cs="宋体"/>
                <w:b w:val="0"/>
                <w:color w:val="auto"/>
                <w:sz w:val="24"/>
                <w:szCs w:val="24"/>
                <w:highlight w:val="none"/>
              </w:rPr>
              <w:t>-</w:t>
            </w:r>
            <w:r>
              <w:rPr>
                <w:rFonts w:hint="eastAsia" w:hAnsi="宋体" w:cs="宋体"/>
                <w:b w:val="0"/>
                <w:color w:val="auto"/>
                <w:sz w:val="24"/>
                <w:szCs w:val="24"/>
                <w:highlight w:val="none"/>
                <w:lang w:val="en-US" w:eastAsia="zh-CN"/>
              </w:rPr>
              <w:t>4.1</w:t>
            </w:r>
            <w:r>
              <w:rPr>
                <w:rFonts w:hint="default" w:hAnsi="宋体" w:cs="宋体"/>
                <w:b w:val="0"/>
                <w:color w:val="auto"/>
                <w:sz w:val="24"/>
                <w:szCs w:val="24"/>
                <w:highlight w:val="none"/>
              </w:rPr>
              <w:t>分；对项目理解较准确、较全面、较详细、可操作性较强、针对性较强的得</w:t>
            </w:r>
            <w:r>
              <w:rPr>
                <w:rFonts w:hint="eastAsia" w:hAnsi="宋体" w:cs="宋体"/>
                <w:b w:val="0"/>
                <w:color w:val="auto"/>
                <w:sz w:val="24"/>
                <w:szCs w:val="24"/>
                <w:highlight w:val="none"/>
                <w:lang w:val="en-US" w:eastAsia="zh-CN"/>
              </w:rPr>
              <w:t>4</w:t>
            </w:r>
            <w:r>
              <w:rPr>
                <w:rFonts w:hint="default" w:hAnsi="宋体" w:cs="宋体"/>
                <w:b w:val="0"/>
                <w:color w:val="auto"/>
                <w:sz w:val="24"/>
                <w:szCs w:val="24"/>
                <w:highlight w:val="none"/>
              </w:rPr>
              <w:t>-</w:t>
            </w:r>
            <w:r>
              <w:rPr>
                <w:rFonts w:hint="eastAsia" w:hAnsi="宋体" w:cs="宋体"/>
                <w:b w:val="0"/>
                <w:color w:val="auto"/>
                <w:sz w:val="24"/>
                <w:szCs w:val="24"/>
                <w:highlight w:val="none"/>
                <w:lang w:val="en-US" w:eastAsia="zh-CN"/>
              </w:rPr>
              <w:t>2.1</w:t>
            </w:r>
            <w:r>
              <w:rPr>
                <w:rFonts w:hint="default" w:hAnsi="宋体" w:cs="宋体"/>
                <w:b w:val="0"/>
                <w:color w:val="auto"/>
                <w:sz w:val="24"/>
                <w:szCs w:val="24"/>
                <w:highlight w:val="none"/>
              </w:rPr>
              <w:t>分。对项目理解不准确、不全面、不详细、可操作性弱、针对性弱的得</w:t>
            </w:r>
            <w:r>
              <w:rPr>
                <w:rFonts w:hint="eastAsia" w:hAnsi="宋体" w:cs="宋体"/>
                <w:b w:val="0"/>
                <w:color w:val="auto"/>
                <w:sz w:val="24"/>
                <w:szCs w:val="24"/>
                <w:highlight w:val="none"/>
                <w:lang w:val="en-US" w:eastAsia="zh-CN"/>
              </w:rPr>
              <w:t>2</w:t>
            </w:r>
            <w:r>
              <w:rPr>
                <w:rFonts w:hint="default" w:hAnsi="宋体" w:cs="宋体"/>
                <w:b w:val="0"/>
                <w:color w:val="auto"/>
                <w:sz w:val="24"/>
                <w:szCs w:val="24"/>
                <w:highlight w:val="none"/>
              </w:rPr>
              <w:t>-0分。</w:t>
            </w:r>
          </w:p>
        </w:tc>
      </w:tr>
      <w:tr w14:paraId="677BD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jc w:val="center"/>
        </w:trPr>
        <w:tc>
          <w:tcPr>
            <w:tcW w:w="660" w:type="dxa"/>
            <w:noWrap w:val="0"/>
            <w:vAlign w:val="center"/>
          </w:tcPr>
          <w:p w14:paraId="2CB393AD">
            <w:pPr>
              <w:pStyle w:val="327"/>
              <w:spacing w:before="5"/>
              <w:jc w:val="center"/>
              <w:rPr>
                <w:color w:val="auto"/>
                <w:w w:val="99"/>
                <w:sz w:val="24"/>
                <w:szCs w:val="24"/>
                <w:highlight w:val="none"/>
              </w:rPr>
            </w:pPr>
            <w:r>
              <w:rPr>
                <w:rFonts w:hint="eastAsia" w:cs="Times New Roman"/>
                <w:color w:val="auto"/>
                <w:sz w:val="24"/>
                <w:szCs w:val="24"/>
                <w:highlight w:val="none"/>
                <w:lang w:val="en-US"/>
              </w:rPr>
              <w:t>2</w:t>
            </w:r>
          </w:p>
        </w:tc>
        <w:tc>
          <w:tcPr>
            <w:tcW w:w="1146" w:type="dxa"/>
            <w:noWrap w:val="0"/>
            <w:vAlign w:val="center"/>
          </w:tcPr>
          <w:p w14:paraId="1940ABB2">
            <w:pPr>
              <w:pStyle w:val="327"/>
              <w:spacing w:line="336" w:lineRule="auto"/>
              <w:ind w:right="57"/>
              <w:jc w:val="center"/>
              <w:rPr>
                <w:rFonts w:cs="Times New Roman"/>
                <w:color w:val="auto"/>
                <w:sz w:val="24"/>
                <w:szCs w:val="24"/>
                <w:highlight w:val="none"/>
                <w:lang w:val="en-US"/>
              </w:rPr>
            </w:pPr>
            <w:r>
              <w:rPr>
                <w:rFonts w:hint="eastAsia" w:cs="Times New Roman"/>
                <w:color w:val="auto"/>
                <w:sz w:val="24"/>
                <w:szCs w:val="24"/>
                <w:highlight w:val="none"/>
                <w:lang w:val="en-US"/>
              </w:rPr>
              <w:t>管网检测实施方案</w:t>
            </w:r>
          </w:p>
        </w:tc>
        <w:tc>
          <w:tcPr>
            <w:tcW w:w="900" w:type="dxa"/>
            <w:noWrap w:val="0"/>
            <w:vAlign w:val="center"/>
          </w:tcPr>
          <w:p w14:paraId="261F9EC8">
            <w:pPr>
              <w:pStyle w:val="327"/>
              <w:ind w:right="119"/>
              <w:jc w:val="center"/>
              <w:rPr>
                <w:rFonts w:hint="eastAsia"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6</w:t>
            </w:r>
          </w:p>
        </w:tc>
        <w:tc>
          <w:tcPr>
            <w:tcW w:w="7189" w:type="dxa"/>
            <w:noWrap w:val="0"/>
            <w:vAlign w:val="center"/>
          </w:tcPr>
          <w:p w14:paraId="07D08537">
            <w:pPr>
              <w:pStyle w:val="242"/>
              <w:widowControl w:val="0"/>
              <w:spacing w:line="360" w:lineRule="exact"/>
              <w:jc w:val="both"/>
              <w:rPr>
                <w:rFonts w:hint="default" w:hAnsi="宋体" w:cs="宋体"/>
                <w:b w:val="0"/>
                <w:color w:val="auto"/>
                <w:sz w:val="24"/>
                <w:szCs w:val="24"/>
                <w:highlight w:val="none"/>
              </w:rPr>
            </w:pPr>
            <w:r>
              <w:rPr>
                <w:rFonts w:hint="default" w:hAnsi="宋体" w:cs="宋体"/>
                <w:b w:val="0"/>
                <w:color w:val="auto"/>
                <w:sz w:val="24"/>
                <w:szCs w:val="24"/>
                <w:highlight w:val="none"/>
              </w:rPr>
              <w:t>管网检测实施方案是否表述清晰、完整、严谨、合理，</w:t>
            </w:r>
            <w:r>
              <w:rPr>
                <w:rFonts w:hint="eastAsia" w:hAnsi="宋体" w:cs="宋体"/>
                <w:b w:val="0"/>
                <w:color w:val="auto"/>
                <w:sz w:val="24"/>
                <w:szCs w:val="24"/>
                <w:highlight w:val="none"/>
                <w:lang w:val="en-US" w:eastAsia="zh-CN"/>
              </w:rPr>
              <w:t>检测</w:t>
            </w:r>
            <w:r>
              <w:rPr>
                <w:rFonts w:hint="default" w:hAnsi="宋体" w:cs="宋体"/>
                <w:b w:val="0"/>
                <w:color w:val="auto"/>
                <w:sz w:val="24"/>
                <w:szCs w:val="24"/>
                <w:highlight w:val="none"/>
              </w:rPr>
              <w:t>步骤是否清晰、是否具备可操作性。根据项目实际特点，是否合理应用</w:t>
            </w:r>
            <w:r>
              <w:rPr>
                <w:rFonts w:hint="eastAsia" w:hAnsi="宋体" w:cs="宋体"/>
                <w:b w:val="0"/>
                <w:color w:val="auto"/>
                <w:sz w:val="24"/>
                <w:szCs w:val="24"/>
                <w:highlight w:val="none"/>
                <w:lang w:val="en-US" w:eastAsia="zh-CN"/>
              </w:rPr>
              <w:t>检测技术</w:t>
            </w:r>
            <w:r>
              <w:rPr>
                <w:rFonts w:hint="default" w:hAnsi="宋体" w:cs="宋体"/>
                <w:b w:val="0"/>
                <w:color w:val="auto"/>
                <w:sz w:val="24"/>
                <w:szCs w:val="24"/>
                <w:highlight w:val="none"/>
              </w:rPr>
              <w:t>。进行综合评定，横向比较，分档评分:优秀</w:t>
            </w:r>
            <w:r>
              <w:rPr>
                <w:rFonts w:hint="eastAsia" w:hAnsi="宋体" w:cs="宋体"/>
                <w:b w:val="0"/>
                <w:color w:val="auto"/>
                <w:sz w:val="24"/>
                <w:szCs w:val="24"/>
                <w:highlight w:val="none"/>
                <w:lang w:val="en-US" w:eastAsia="zh-CN"/>
              </w:rPr>
              <w:t>6-4.1</w:t>
            </w:r>
            <w:r>
              <w:rPr>
                <w:rFonts w:hint="default" w:hAnsi="宋体" w:cs="宋体"/>
                <w:b w:val="0"/>
                <w:color w:val="auto"/>
                <w:sz w:val="24"/>
                <w:szCs w:val="24"/>
                <w:highlight w:val="none"/>
              </w:rPr>
              <w:t>分，良好</w:t>
            </w:r>
            <w:r>
              <w:rPr>
                <w:rFonts w:hint="eastAsia" w:hAnsi="宋体" w:cs="宋体"/>
                <w:b w:val="0"/>
                <w:color w:val="auto"/>
                <w:sz w:val="24"/>
                <w:szCs w:val="24"/>
                <w:highlight w:val="none"/>
                <w:lang w:val="en-US" w:eastAsia="zh-CN"/>
              </w:rPr>
              <w:t>4</w:t>
            </w:r>
            <w:r>
              <w:rPr>
                <w:rFonts w:hint="default" w:hAnsi="宋体" w:cs="宋体"/>
                <w:b w:val="0"/>
                <w:color w:val="auto"/>
                <w:sz w:val="24"/>
                <w:szCs w:val="24"/>
                <w:highlight w:val="none"/>
              </w:rPr>
              <w:t>-</w:t>
            </w:r>
            <w:r>
              <w:rPr>
                <w:rFonts w:hint="eastAsia" w:hAnsi="宋体" w:cs="宋体"/>
                <w:b w:val="0"/>
                <w:color w:val="auto"/>
                <w:sz w:val="24"/>
                <w:szCs w:val="24"/>
                <w:highlight w:val="none"/>
                <w:lang w:val="en-US" w:eastAsia="zh-CN"/>
              </w:rPr>
              <w:t>2.1</w:t>
            </w:r>
            <w:r>
              <w:rPr>
                <w:rFonts w:hint="default" w:hAnsi="宋体" w:cs="宋体"/>
                <w:b w:val="0"/>
                <w:color w:val="auto"/>
                <w:sz w:val="24"/>
                <w:szCs w:val="24"/>
                <w:highlight w:val="none"/>
              </w:rPr>
              <w:t>分，一般</w:t>
            </w:r>
            <w:r>
              <w:rPr>
                <w:rFonts w:hint="eastAsia" w:hAnsi="宋体" w:cs="宋体"/>
                <w:b w:val="0"/>
                <w:color w:val="auto"/>
                <w:sz w:val="24"/>
                <w:szCs w:val="24"/>
                <w:highlight w:val="none"/>
                <w:lang w:val="en-US" w:eastAsia="zh-CN"/>
              </w:rPr>
              <w:t>2</w:t>
            </w:r>
            <w:r>
              <w:rPr>
                <w:rFonts w:hint="default" w:hAnsi="宋体" w:cs="宋体"/>
                <w:b w:val="0"/>
                <w:color w:val="auto"/>
                <w:sz w:val="24"/>
                <w:szCs w:val="24"/>
                <w:highlight w:val="none"/>
              </w:rPr>
              <w:t>-0分。</w:t>
            </w:r>
          </w:p>
        </w:tc>
      </w:tr>
      <w:tr w14:paraId="76F42A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3" w:hRule="atLeast"/>
          <w:jc w:val="center"/>
        </w:trPr>
        <w:tc>
          <w:tcPr>
            <w:tcW w:w="660" w:type="dxa"/>
            <w:noWrap w:val="0"/>
            <w:vAlign w:val="center"/>
          </w:tcPr>
          <w:p w14:paraId="25769225">
            <w:pPr>
              <w:pStyle w:val="327"/>
              <w:jc w:val="center"/>
              <w:rPr>
                <w:rFonts w:hint="eastAsia" w:eastAsia="宋体" w:cs="Times New Roman"/>
                <w:color w:val="auto"/>
                <w:sz w:val="24"/>
                <w:szCs w:val="24"/>
                <w:highlight w:val="none"/>
                <w:lang w:eastAsia="zh-CN"/>
              </w:rPr>
            </w:pPr>
            <w:r>
              <w:rPr>
                <w:rFonts w:hint="eastAsia"/>
                <w:color w:val="auto"/>
                <w:w w:val="99"/>
                <w:sz w:val="24"/>
                <w:szCs w:val="24"/>
                <w:highlight w:val="none"/>
                <w:lang w:val="en-US" w:eastAsia="zh-CN"/>
              </w:rPr>
              <w:t>3</w:t>
            </w:r>
          </w:p>
        </w:tc>
        <w:tc>
          <w:tcPr>
            <w:tcW w:w="1146" w:type="dxa"/>
            <w:noWrap w:val="0"/>
            <w:vAlign w:val="center"/>
          </w:tcPr>
          <w:p w14:paraId="723C1D53">
            <w:pPr>
              <w:pStyle w:val="327"/>
              <w:spacing w:before="35" w:line="280" w:lineRule="atLeast"/>
              <w:ind w:right="-58"/>
              <w:jc w:val="center"/>
              <w:rPr>
                <w:rFonts w:hint="default"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检测重点难点分析</w:t>
            </w:r>
          </w:p>
        </w:tc>
        <w:tc>
          <w:tcPr>
            <w:tcW w:w="900" w:type="dxa"/>
            <w:noWrap w:val="0"/>
            <w:vAlign w:val="center"/>
          </w:tcPr>
          <w:p w14:paraId="778570D3">
            <w:pPr>
              <w:pStyle w:val="327"/>
              <w:spacing w:before="1"/>
              <w:jc w:val="center"/>
              <w:rPr>
                <w:rFonts w:hint="eastAsia" w:eastAsia="宋体" w:cs="Times New Roman"/>
                <w:color w:val="auto"/>
                <w:sz w:val="24"/>
                <w:szCs w:val="24"/>
                <w:highlight w:val="none"/>
                <w:lang w:val="en-US" w:eastAsia="zh-CN"/>
              </w:rPr>
            </w:pPr>
            <w:r>
              <w:rPr>
                <w:rFonts w:hint="eastAsia"/>
                <w:color w:val="auto"/>
                <w:w w:val="99"/>
                <w:sz w:val="24"/>
                <w:szCs w:val="24"/>
                <w:highlight w:val="none"/>
                <w:lang w:val="en-US" w:eastAsia="zh-CN"/>
              </w:rPr>
              <w:t>6</w:t>
            </w:r>
          </w:p>
        </w:tc>
        <w:tc>
          <w:tcPr>
            <w:tcW w:w="7189" w:type="dxa"/>
            <w:noWrap w:val="0"/>
            <w:vAlign w:val="center"/>
          </w:tcPr>
          <w:p w14:paraId="249B65BB">
            <w:pPr>
              <w:pStyle w:val="346"/>
              <w:wordWrap w:val="0"/>
              <w:snapToGrid w:val="0"/>
              <w:spacing w:line="360" w:lineRule="exact"/>
              <w:rPr>
                <w:rFonts w:eastAsia="宋体"/>
                <w:color w:val="auto"/>
                <w:sz w:val="24"/>
                <w:szCs w:val="24"/>
                <w:highlight w:val="none"/>
                <w:lang w:val="zh-CN"/>
              </w:rPr>
            </w:pPr>
            <w:r>
              <w:rPr>
                <w:rFonts w:eastAsia="宋体"/>
                <w:color w:val="auto"/>
                <w:sz w:val="24"/>
                <w:szCs w:val="24"/>
                <w:highlight w:val="none"/>
                <w:lang w:val="zh-CN"/>
              </w:rPr>
              <w:t>对</w:t>
            </w:r>
            <w:r>
              <w:rPr>
                <w:rFonts w:hint="eastAsia" w:eastAsia="宋体"/>
                <w:color w:val="auto"/>
                <w:sz w:val="24"/>
                <w:szCs w:val="24"/>
                <w:highlight w:val="none"/>
                <w:lang w:val="zh-CN"/>
              </w:rPr>
              <w:t>检测重点、难点</w:t>
            </w:r>
            <w:r>
              <w:rPr>
                <w:rFonts w:hint="eastAsia" w:eastAsia="宋体"/>
                <w:color w:val="auto"/>
                <w:sz w:val="24"/>
                <w:szCs w:val="24"/>
                <w:highlight w:val="none"/>
                <w:lang w:val="en-US" w:eastAsia="zh-CN"/>
              </w:rPr>
              <w:t>及</w:t>
            </w:r>
            <w:r>
              <w:rPr>
                <w:rFonts w:hint="eastAsia" w:ascii="宋体" w:hAnsi="宋体" w:eastAsia="宋体" w:cs="宋体"/>
                <w:color w:val="auto"/>
                <w:sz w:val="24"/>
                <w:szCs w:val="24"/>
                <w:highlight w:val="none"/>
                <w:lang w:val="zh-CN"/>
              </w:rPr>
              <w:t>技术</w:t>
            </w:r>
            <w:r>
              <w:rPr>
                <w:rFonts w:hint="eastAsia" w:ascii="宋体" w:hAnsi="宋体" w:eastAsia="宋体" w:cs="宋体"/>
                <w:color w:val="auto"/>
                <w:sz w:val="24"/>
                <w:szCs w:val="24"/>
                <w:highlight w:val="none"/>
                <w:lang w:val="en-US" w:eastAsia="zh-CN"/>
              </w:rPr>
              <w:t>分析</w:t>
            </w:r>
            <w:r>
              <w:rPr>
                <w:rFonts w:ascii="宋体" w:hAnsi="宋体" w:eastAsia="宋体" w:cs="宋体"/>
                <w:color w:val="auto"/>
                <w:sz w:val="24"/>
                <w:szCs w:val="24"/>
                <w:highlight w:val="none"/>
                <w:lang w:val="zh-CN"/>
              </w:rPr>
              <w:t>问题是否有深入的表述，</w:t>
            </w:r>
            <w:r>
              <w:rPr>
                <w:rFonts w:hint="eastAsia" w:ascii="宋体" w:hAnsi="宋体" w:eastAsia="宋体" w:cs="宋体"/>
                <w:color w:val="auto"/>
                <w:sz w:val="24"/>
                <w:szCs w:val="24"/>
                <w:highlight w:val="none"/>
                <w:lang w:val="en-US" w:eastAsia="zh-CN"/>
              </w:rPr>
              <w:t>检测重点、难点</w:t>
            </w:r>
            <w:r>
              <w:rPr>
                <w:rFonts w:ascii="宋体" w:hAnsi="宋体" w:eastAsia="宋体" w:cs="宋体"/>
                <w:color w:val="auto"/>
                <w:sz w:val="24"/>
                <w:szCs w:val="24"/>
                <w:highlight w:val="none"/>
                <w:lang w:val="zh-CN"/>
              </w:rPr>
              <w:t>解决方案是否完整、</w:t>
            </w:r>
            <w:r>
              <w:rPr>
                <w:rFonts w:eastAsia="宋体"/>
                <w:color w:val="auto"/>
                <w:sz w:val="24"/>
                <w:szCs w:val="24"/>
                <w:highlight w:val="none"/>
                <w:lang w:val="zh-CN"/>
              </w:rPr>
              <w:t>经济、安全、切实可行，措施得力，进行综合评定，横向比较，分档评分:方案完整、合理、有针对性的得</w:t>
            </w:r>
            <w:r>
              <w:rPr>
                <w:rFonts w:hint="eastAsia" w:hAnsi="宋体" w:cs="宋体"/>
                <w:b w:val="0"/>
                <w:color w:val="auto"/>
                <w:sz w:val="24"/>
                <w:szCs w:val="24"/>
                <w:highlight w:val="none"/>
                <w:lang w:val="en-US" w:eastAsia="zh-CN"/>
              </w:rPr>
              <w:t>6-4.1</w:t>
            </w:r>
            <w:r>
              <w:rPr>
                <w:rFonts w:eastAsia="宋体"/>
                <w:color w:val="auto"/>
                <w:sz w:val="24"/>
                <w:szCs w:val="24"/>
                <w:highlight w:val="none"/>
                <w:lang w:val="zh-CN"/>
              </w:rPr>
              <w:t>分;方案较为完整、合理、有针对性不强的得</w:t>
            </w:r>
            <w:r>
              <w:rPr>
                <w:rFonts w:hint="eastAsia" w:hAnsi="宋体" w:cs="宋体"/>
                <w:b w:val="0"/>
                <w:color w:val="auto"/>
                <w:sz w:val="24"/>
                <w:szCs w:val="24"/>
                <w:highlight w:val="none"/>
                <w:lang w:val="en-US" w:eastAsia="zh-CN"/>
              </w:rPr>
              <w:t>4</w:t>
            </w:r>
            <w:r>
              <w:rPr>
                <w:rFonts w:hint="default" w:hAnsi="宋体" w:cs="宋体"/>
                <w:b w:val="0"/>
                <w:color w:val="auto"/>
                <w:sz w:val="24"/>
                <w:szCs w:val="24"/>
                <w:highlight w:val="none"/>
              </w:rPr>
              <w:t>-</w:t>
            </w:r>
            <w:r>
              <w:rPr>
                <w:rFonts w:hint="eastAsia" w:hAnsi="宋体" w:cs="宋体"/>
                <w:b w:val="0"/>
                <w:color w:val="auto"/>
                <w:sz w:val="24"/>
                <w:szCs w:val="24"/>
                <w:highlight w:val="none"/>
                <w:lang w:val="en-US" w:eastAsia="zh-CN"/>
              </w:rPr>
              <w:t>2.1</w:t>
            </w:r>
            <w:r>
              <w:rPr>
                <w:rFonts w:eastAsia="宋体"/>
                <w:color w:val="auto"/>
                <w:sz w:val="24"/>
                <w:szCs w:val="24"/>
                <w:highlight w:val="none"/>
                <w:lang w:val="zh-CN"/>
              </w:rPr>
              <w:t>分;方案不完整、不合理、没有针对性</w:t>
            </w:r>
            <w:r>
              <w:rPr>
                <w:rFonts w:hint="eastAsia" w:cs="宋体"/>
                <w:b w:val="0"/>
                <w:color w:val="auto"/>
                <w:sz w:val="24"/>
                <w:szCs w:val="24"/>
                <w:highlight w:val="none"/>
                <w:lang w:val="en-US" w:eastAsia="zh-CN"/>
              </w:rPr>
              <w:t>2</w:t>
            </w:r>
            <w:r>
              <w:rPr>
                <w:rFonts w:hint="default" w:hAnsi="宋体" w:cs="宋体"/>
                <w:b w:val="0"/>
                <w:color w:val="auto"/>
                <w:sz w:val="24"/>
                <w:szCs w:val="24"/>
                <w:highlight w:val="none"/>
              </w:rPr>
              <w:t>-0</w:t>
            </w:r>
            <w:r>
              <w:rPr>
                <w:rFonts w:eastAsia="宋体"/>
                <w:color w:val="auto"/>
                <w:sz w:val="24"/>
                <w:szCs w:val="24"/>
                <w:highlight w:val="none"/>
                <w:lang w:val="zh-CN"/>
              </w:rPr>
              <w:t>分。</w:t>
            </w:r>
          </w:p>
        </w:tc>
      </w:tr>
      <w:tr w14:paraId="0F8C0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60" w:type="dxa"/>
            <w:noWrap w:val="0"/>
            <w:vAlign w:val="center"/>
          </w:tcPr>
          <w:p w14:paraId="38AC3B6F">
            <w:pPr>
              <w:pStyle w:val="327"/>
              <w:jc w:val="center"/>
              <w:rPr>
                <w:rFonts w:hint="eastAsia" w:eastAsia="宋体" w:cs="Times New Roman"/>
                <w:color w:val="auto"/>
                <w:sz w:val="24"/>
                <w:szCs w:val="24"/>
                <w:highlight w:val="none"/>
                <w:lang w:eastAsia="zh-CN"/>
              </w:rPr>
            </w:pPr>
            <w:r>
              <w:rPr>
                <w:rFonts w:hint="eastAsia"/>
                <w:color w:val="auto"/>
                <w:w w:val="99"/>
                <w:sz w:val="24"/>
                <w:szCs w:val="24"/>
                <w:highlight w:val="none"/>
                <w:lang w:val="en-US" w:eastAsia="zh-CN"/>
              </w:rPr>
              <w:t>4</w:t>
            </w:r>
          </w:p>
        </w:tc>
        <w:tc>
          <w:tcPr>
            <w:tcW w:w="1146" w:type="dxa"/>
            <w:noWrap w:val="0"/>
            <w:vAlign w:val="center"/>
          </w:tcPr>
          <w:p w14:paraId="06E3DF5E">
            <w:pPr>
              <w:pStyle w:val="327"/>
              <w:spacing w:before="1"/>
              <w:ind w:right="-76"/>
              <w:jc w:val="center"/>
              <w:rPr>
                <w:rFonts w:cs="Times New Roman"/>
                <w:color w:val="auto"/>
                <w:sz w:val="24"/>
                <w:szCs w:val="24"/>
                <w:highlight w:val="none"/>
                <w:lang w:val="en-US"/>
              </w:rPr>
            </w:pPr>
            <w:r>
              <w:rPr>
                <w:rFonts w:hint="eastAsia" w:cs="Times New Roman"/>
                <w:color w:val="auto"/>
                <w:sz w:val="24"/>
                <w:szCs w:val="24"/>
                <w:highlight w:val="none"/>
                <w:lang w:val="en-US" w:eastAsia="zh-CN"/>
              </w:rPr>
              <w:t>检测</w:t>
            </w:r>
            <w:r>
              <w:rPr>
                <w:rFonts w:hint="eastAsia" w:cs="Times New Roman"/>
                <w:color w:val="auto"/>
                <w:sz w:val="24"/>
                <w:szCs w:val="24"/>
                <w:highlight w:val="none"/>
                <w:lang w:val="en-US"/>
              </w:rPr>
              <w:t>质量保证措施</w:t>
            </w:r>
          </w:p>
        </w:tc>
        <w:tc>
          <w:tcPr>
            <w:tcW w:w="900" w:type="dxa"/>
            <w:noWrap w:val="0"/>
            <w:vAlign w:val="center"/>
          </w:tcPr>
          <w:p w14:paraId="40EDFE87">
            <w:pPr>
              <w:pStyle w:val="327"/>
              <w:spacing w:before="1"/>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6</w:t>
            </w:r>
          </w:p>
        </w:tc>
        <w:tc>
          <w:tcPr>
            <w:tcW w:w="7189" w:type="dxa"/>
            <w:noWrap w:val="0"/>
            <w:vAlign w:val="center"/>
          </w:tcPr>
          <w:p w14:paraId="651C2E67">
            <w:pPr>
              <w:pStyle w:val="346"/>
              <w:wordWrap w:val="0"/>
              <w:snapToGrid w:val="0"/>
              <w:spacing w:line="360" w:lineRule="exact"/>
              <w:rPr>
                <w:rFonts w:eastAsia="宋体"/>
                <w:color w:val="auto"/>
                <w:sz w:val="24"/>
                <w:szCs w:val="24"/>
                <w:highlight w:val="none"/>
                <w:lang w:val="zh-CN"/>
              </w:rPr>
            </w:pPr>
            <w:r>
              <w:rPr>
                <w:rFonts w:eastAsia="宋体"/>
                <w:color w:val="auto"/>
                <w:sz w:val="24"/>
                <w:szCs w:val="24"/>
                <w:highlight w:val="none"/>
                <w:lang w:val="zh-CN"/>
              </w:rPr>
              <w:t>对投标人的</w:t>
            </w:r>
            <w:r>
              <w:rPr>
                <w:rFonts w:hint="eastAsia" w:eastAsia="宋体"/>
                <w:color w:val="auto"/>
                <w:sz w:val="24"/>
                <w:szCs w:val="24"/>
                <w:highlight w:val="none"/>
                <w:lang w:val="zh-CN"/>
              </w:rPr>
              <w:t>检测</w:t>
            </w:r>
            <w:r>
              <w:rPr>
                <w:rFonts w:eastAsia="宋体"/>
                <w:color w:val="auto"/>
                <w:sz w:val="24"/>
                <w:szCs w:val="24"/>
                <w:highlight w:val="none"/>
                <w:lang w:val="zh-CN"/>
              </w:rPr>
              <w:t>质量保证措施是否满</w:t>
            </w:r>
            <w:r>
              <w:rPr>
                <w:rFonts w:ascii="宋体" w:hAnsi="宋体" w:eastAsia="宋体" w:cs="宋体"/>
                <w:color w:val="auto"/>
                <w:sz w:val="24"/>
                <w:szCs w:val="24"/>
                <w:highlight w:val="none"/>
                <w:lang w:val="zh-CN"/>
              </w:rPr>
              <w:t>足招标文件要求、是否内容全面、是否符合相关规范，进行综合评定，横向比较，分档评分：</w:t>
            </w:r>
            <w:r>
              <w:rPr>
                <w:rFonts w:hint="eastAsia" w:ascii="宋体" w:hAnsi="宋体" w:eastAsia="宋体" w:cs="宋体"/>
                <w:color w:val="auto"/>
                <w:sz w:val="24"/>
                <w:szCs w:val="24"/>
                <w:highlight w:val="none"/>
                <w:lang w:val="en-US" w:eastAsia="zh-CN"/>
              </w:rPr>
              <w:t>检测</w:t>
            </w:r>
            <w:r>
              <w:rPr>
                <w:rFonts w:ascii="宋体" w:hAnsi="宋体" w:eastAsia="宋体" w:cs="宋体"/>
                <w:color w:val="auto"/>
                <w:sz w:val="24"/>
                <w:szCs w:val="24"/>
                <w:highlight w:val="none"/>
                <w:lang w:val="zh-CN"/>
              </w:rPr>
              <w:t>质量保证措施理解准确、全面、详细、可操作性强、针对性强的得</w:t>
            </w:r>
            <w:r>
              <w:rPr>
                <w:rFonts w:hint="eastAsia" w:hAnsi="宋体" w:cs="宋体"/>
                <w:b w:val="0"/>
                <w:color w:val="auto"/>
                <w:sz w:val="24"/>
                <w:szCs w:val="24"/>
                <w:highlight w:val="none"/>
                <w:lang w:val="en-US" w:eastAsia="zh-CN"/>
              </w:rPr>
              <w:t>6-4.1</w:t>
            </w:r>
            <w:r>
              <w:rPr>
                <w:rFonts w:ascii="宋体" w:hAnsi="宋体" w:eastAsia="宋体" w:cs="宋体"/>
                <w:color w:val="auto"/>
                <w:sz w:val="24"/>
                <w:szCs w:val="24"/>
                <w:highlight w:val="none"/>
                <w:lang w:val="zh-CN"/>
              </w:rPr>
              <w:t>分；</w:t>
            </w:r>
            <w:r>
              <w:rPr>
                <w:rFonts w:hint="eastAsia" w:ascii="宋体" w:hAnsi="宋体" w:eastAsia="宋体" w:cs="宋体"/>
                <w:color w:val="auto"/>
                <w:sz w:val="24"/>
                <w:szCs w:val="24"/>
                <w:highlight w:val="none"/>
                <w:lang w:val="en-US" w:eastAsia="zh-CN"/>
              </w:rPr>
              <w:t>检测</w:t>
            </w:r>
            <w:r>
              <w:rPr>
                <w:rFonts w:ascii="宋体" w:hAnsi="宋体" w:eastAsia="宋体" w:cs="宋体"/>
                <w:color w:val="auto"/>
                <w:sz w:val="24"/>
                <w:szCs w:val="24"/>
                <w:highlight w:val="none"/>
                <w:lang w:val="zh-CN"/>
              </w:rPr>
              <w:t>质量保证措施理解较准确、较全面、较详细、可操作性较强、针对性较强的得</w:t>
            </w:r>
            <w:r>
              <w:rPr>
                <w:rFonts w:hint="eastAsia" w:hAnsi="宋体" w:cs="宋体"/>
                <w:b w:val="0"/>
                <w:color w:val="auto"/>
                <w:sz w:val="24"/>
                <w:szCs w:val="24"/>
                <w:highlight w:val="none"/>
                <w:lang w:val="en-US" w:eastAsia="zh-CN"/>
              </w:rPr>
              <w:t>4</w:t>
            </w:r>
            <w:r>
              <w:rPr>
                <w:rFonts w:hint="default" w:hAnsi="宋体" w:cs="宋体"/>
                <w:b w:val="0"/>
                <w:color w:val="auto"/>
                <w:sz w:val="24"/>
                <w:szCs w:val="24"/>
                <w:highlight w:val="none"/>
              </w:rPr>
              <w:t>-</w:t>
            </w:r>
            <w:r>
              <w:rPr>
                <w:rFonts w:hint="eastAsia" w:hAnsi="宋体" w:cs="宋体"/>
                <w:b w:val="0"/>
                <w:color w:val="auto"/>
                <w:sz w:val="24"/>
                <w:szCs w:val="24"/>
                <w:highlight w:val="none"/>
                <w:lang w:val="en-US" w:eastAsia="zh-CN"/>
              </w:rPr>
              <w:t>2.1</w:t>
            </w:r>
            <w:r>
              <w:rPr>
                <w:rFonts w:ascii="宋体" w:hAnsi="宋体" w:eastAsia="宋体" w:cs="宋体"/>
                <w:color w:val="auto"/>
                <w:sz w:val="24"/>
                <w:szCs w:val="24"/>
                <w:highlight w:val="none"/>
                <w:lang w:val="zh-CN"/>
              </w:rPr>
              <w:t>分。</w:t>
            </w:r>
            <w:r>
              <w:rPr>
                <w:rFonts w:hint="eastAsia" w:ascii="宋体" w:hAnsi="宋体" w:eastAsia="宋体" w:cs="宋体"/>
                <w:color w:val="auto"/>
                <w:sz w:val="24"/>
                <w:szCs w:val="24"/>
                <w:highlight w:val="none"/>
                <w:lang w:val="zh-CN"/>
              </w:rPr>
              <w:t>检测</w:t>
            </w:r>
            <w:r>
              <w:rPr>
                <w:rFonts w:ascii="宋体" w:hAnsi="宋体" w:eastAsia="宋体" w:cs="宋体"/>
                <w:color w:val="auto"/>
                <w:sz w:val="24"/>
                <w:szCs w:val="24"/>
                <w:highlight w:val="none"/>
                <w:lang w:val="zh-CN"/>
              </w:rPr>
              <w:t>质量保证措施理解不准确、不全面、不详细、可操作性弱、针对性弱的得</w:t>
            </w:r>
            <w:r>
              <w:rPr>
                <w:rFonts w:hint="eastAsia" w:eastAsia="宋体" w:cs="宋体"/>
                <w:color w:val="auto"/>
                <w:sz w:val="24"/>
                <w:szCs w:val="24"/>
                <w:highlight w:val="none"/>
                <w:lang w:val="en-US" w:eastAsia="zh-CN"/>
              </w:rPr>
              <w:t>2</w:t>
            </w:r>
            <w:r>
              <w:rPr>
                <w:rFonts w:hint="default" w:ascii="宋体" w:hAnsi="宋体" w:eastAsia="宋体" w:cs="宋体"/>
                <w:color w:val="auto"/>
                <w:sz w:val="24"/>
                <w:szCs w:val="24"/>
                <w:highlight w:val="none"/>
                <w:lang w:val="zh-CN"/>
              </w:rPr>
              <w:t>-0</w:t>
            </w:r>
            <w:r>
              <w:rPr>
                <w:rFonts w:ascii="宋体" w:hAnsi="宋体" w:eastAsia="宋体" w:cs="宋体"/>
                <w:color w:val="auto"/>
                <w:sz w:val="24"/>
                <w:szCs w:val="24"/>
                <w:highlight w:val="none"/>
                <w:lang w:val="zh-CN"/>
              </w:rPr>
              <w:t>分。</w:t>
            </w:r>
          </w:p>
        </w:tc>
      </w:tr>
      <w:tr w14:paraId="3EB67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1" w:hRule="atLeast"/>
          <w:jc w:val="center"/>
        </w:trPr>
        <w:tc>
          <w:tcPr>
            <w:tcW w:w="660" w:type="dxa"/>
            <w:noWrap w:val="0"/>
            <w:vAlign w:val="center"/>
          </w:tcPr>
          <w:p w14:paraId="3A644DE9">
            <w:pPr>
              <w:pStyle w:val="327"/>
              <w:jc w:val="center"/>
              <w:rPr>
                <w:rFonts w:hint="eastAsia" w:ascii="宋体" w:hAnsi="宋体" w:eastAsia="宋体" w:cs="Times New Roman"/>
                <w:color w:val="auto"/>
                <w:sz w:val="24"/>
                <w:szCs w:val="24"/>
                <w:highlight w:val="none"/>
                <w:lang w:val="zh-CN" w:eastAsia="zh-CN" w:bidi="zh-CN"/>
              </w:rPr>
            </w:pPr>
            <w:r>
              <w:rPr>
                <w:rFonts w:hint="eastAsia"/>
                <w:color w:val="auto"/>
                <w:w w:val="99"/>
                <w:sz w:val="24"/>
                <w:szCs w:val="24"/>
                <w:highlight w:val="none"/>
                <w:lang w:val="en-US" w:eastAsia="zh-CN"/>
              </w:rPr>
              <w:t>5</w:t>
            </w:r>
          </w:p>
        </w:tc>
        <w:tc>
          <w:tcPr>
            <w:tcW w:w="1146" w:type="dxa"/>
            <w:noWrap w:val="0"/>
            <w:vAlign w:val="center"/>
          </w:tcPr>
          <w:p w14:paraId="1925DA36">
            <w:pPr>
              <w:pStyle w:val="327"/>
              <w:spacing w:before="1"/>
              <w:ind w:right="-58" w:rightChars="0"/>
              <w:jc w:val="center"/>
              <w:rPr>
                <w:rFonts w:hint="default" w:ascii="宋体" w:hAnsi="宋体" w:eastAsia="宋体" w:cs="Times New Roman"/>
                <w:color w:val="auto"/>
                <w:sz w:val="24"/>
                <w:szCs w:val="24"/>
                <w:highlight w:val="none"/>
                <w:lang w:val="en-US" w:eastAsia="zh-CN" w:bidi="zh-CN"/>
              </w:rPr>
            </w:pPr>
            <w:r>
              <w:rPr>
                <w:rFonts w:hint="eastAsia"/>
                <w:color w:val="auto"/>
                <w:sz w:val="24"/>
                <w:szCs w:val="24"/>
                <w:highlight w:val="none"/>
                <w:lang w:val="en-US" w:eastAsia="zh-CN" w:bidi="ar-SA"/>
              </w:rPr>
              <w:t>后期服务保障</w:t>
            </w:r>
          </w:p>
        </w:tc>
        <w:tc>
          <w:tcPr>
            <w:tcW w:w="900" w:type="dxa"/>
            <w:noWrap w:val="0"/>
            <w:vAlign w:val="center"/>
          </w:tcPr>
          <w:p w14:paraId="0ABAD1E3">
            <w:pPr>
              <w:pStyle w:val="327"/>
              <w:spacing w:before="1"/>
              <w:jc w:val="center"/>
              <w:rPr>
                <w:rFonts w:hint="default" w:ascii="宋体" w:hAnsi="宋体" w:eastAsia="宋体" w:cs="Times New Roman"/>
                <w:color w:val="auto"/>
                <w:sz w:val="24"/>
                <w:szCs w:val="24"/>
                <w:highlight w:val="none"/>
                <w:lang w:val="en-US" w:eastAsia="zh-CN" w:bidi="zh-CN"/>
              </w:rPr>
            </w:pPr>
            <w:r>
              <w:rPr>
                <w:rFonts w:hint="eastAsia" w:cs="Times New Roman"/>
                <w:color w:val="auto"/>
                <w:sz w:val="24"/>
                <w:szCs w:val="24"/>
                <w:highlight w:val="none"/>
                <w:lang w:val="en-US" w:eastAsia="zh-CN" w:bidi="zh-CN"/>
              </w:rPr>
              <w:t>6</w:t>
            </w:r>
          </w:p>
        </w:tc>
        <w:tc>
          <w:tcPr>
            <w:tcW w:w="7189" w:type="dxa"/>
            <w:noWrap w:val="0"/>
            <w:vAlign w:val="center"/>
          </w:tcPr>
          <w:p w14:paraId="1DBE1973">
            <w:pPr>
              <w:pStyle w:val="346"/>
              <w:wordWrap w:val="0"/>
              <w:spacing w:line="360" w:lineRule="exact"/>
              <w:rPr>
                <w:rFonts w:ascii="宋体" w:hAnsi="宋体" w:eastAsia="宋体" w:cs="宋体"/>
                <w:color w:val="auto"/>
                <w:sz w:val="24"/>
                <w:szCs w:val="24"/>
                <w:highlight w:val="none"/>
                <w:lang w:val="zh-CN" w:eastAsia="zh-CN" w:bidi="ar-SA"/>
              </w:rPr>
            </w:pPr>
            <w:r>
              <w:rPr>
                <w:rFonts w:eastAsia="宋体"/>
                <w:color w:val="auto"/>
                <w:sz w:val="24"/>
                <w:szCs w:val="24"/>
                <w:highlight w:val="none"/>
                <w:lang w:val="zh-CN"/>
              </w:rPr>
              <w:t>对投标人后期服务（包括</w:t>
            </w:r>
            <w:r>
              <w:rPr>
                <w:rFonts w:hint="eastAsia" w:eastAsia="宋体"/>
                <w:color w:val="auto"/>
                <w:sz w:val="24"/>
                <w:szCs w:val="24"/>
                <w:highlight w:val="none"/>
                <w:lang w:val="en-US" w:eastAsia="zh-CN"/>
              </w:rPr>
              <w:t>管道检测修复</w:t>
            </w:r>
            <w:r>
              <w:rPr>
                <w:rFonts w:eastAsia="宋体"/>
                <w:color w:val="auto"/>
                <w:sz w:val="24"/>
                <w:szCs w:val="24"/>
                <w:highlight w:val="none"/>
                <w:lang w:val="zh-CN"/>
              </w:rPr>
              <w:t>技术交底、施工中技术服务）的安排保证措施及</w:t>
            </w:r>
            <w:r>
              <w:rPr>
                <w:rFonts w:hint="eastAsia" w:eastAsia="宋体"/>
                <w:color w:val="auto"/>
                <w:sz w:val="24"/>
                <w:szCs w:val="24"/>
                <w:highlight w:val="none"/>
                <w:lang w:val="zh-CN"/>
              </w:rPr>
              <w:t>能结合实情做好本项目的快速响应服务</w:t>
            </w:r>
            <w:r>
              <w:rPr>
                <w:rFonts w:eastAsia="宋体"/>
                <w:color w:val="auto"/>
                <w:sz w:val="24"/>
                <w:szCs w:val="24"/>
                <w:highlight w:val="none"/>
                <w:lang w:val="zh-CN"/>
              </w:rPr>
              <w:t>是否满足招标文件要求、是否内容全面、是否符合相关规范</w:t>
            </w:r>
            <w:r>
              <w:rPr>
                <w:rFonts w:hint="eastAsia" w:eastAsia="宋体"/>
                <w:color w:val="auto"/>
                <w:sz w:val="24"/>
                <w:szCs w:val="24"/>
                <w:highlight w:val="none"/>
                <w:lang w:val="en-US" w:eastAsia="zh-CN"/>
              </w:rPr>
              <w:t>及</w:t>
            </w:r>
            <w:r>
              <w:rPr>
                <w:rFonts w:hint="eastAsia" w:eastAsia="宋体"/>
                <w:color w:val="auto"/>
                <w:sz w:val="24"/>
                <w:szCs w:val="24"/>
                <w:highlight w:val="none"/>
                <w:lang w:val="zh-CN"/>
              </w:rPr>
              <w:t>各投标人在接到委托通知后能快速响应程度</w:t>
            </w:r>
            <w:r>
              <w:rPr>
                <w:rFonts w:eastAsia="宋体"/>
                <w:color w:val="auto"/>
                <w:sz w:val="24"/>
                <w:szCs w:val="24"/>
                <w:highlight w:val="none"/>
                <w:lang w:val="zh-CN"/>
              </w:rPr>
              <w:t>，进行综合评定，横向比较，分档评分。优秀</w:t>
            </w:r>
            <w:r>
              <w:rPr>
                <w:rFonts w:hint="eastAsia" w:hAnsi="宋体" w:cs="宋体"/>
                <w:b w:val="0"/>
                <w:color w:val="auto"/>
                <w:sz w:val="24"/>
                <w:szCs w:val="24"/>
                <w:highlight w:val="none"/>
                <w:lang w:val="en-US" w:eastAsia="zh-CN"/>
              </w:rPr>
              <w:t>6-4.1</w:t>
            </w:r>
            <w:r>
              <w:rPr>
                <w:rFonts w:eastAsia="宋体"/>
                <w:color w:val="auto"/>
                <w:sz w:val="24"/>
                <w:szCs w:val="24"/>
                <w:highlight w:val="none"/>
                <w:lang w:val="zh-CN"/>
              </w:rPr>
              <w:t>分，良好</w:t>
            </w:r>
            <w:r>
              <w:rPr>
                <w:rFonts w:hint="eastAsia" w:cs="宋体"/>
                <w:b w:val="0"/>
                <w:color w:val="auto"/>
                <w:sz w:val="24"/>
                <w:szCs w:val="24"/>
                <w:highlight w:val="none"/>
                <w:lang w:val="en-US" w:eastAsia="zh-CN"/>
              </w:rPr>
              <w:t>4</w:t>
            </w:r>
            <w:r>
              <w:rPr>
                <w:rFonts w:hint="eastAsia" w:hAnsi="宋体" w:cs="宋体"/>
                <w:b w:val="0"/>
                <w:color w:val="auto"/>
                <w:sz w:val="24"/>
                <w:szCs w:val="24"/>
                <w:highlight w:val="none"/>
                <w:lang w:val="en-US" w:eastAsia="zh-CN"/>
              </w:rPr>
              <w:t>-</w:t>
            </w:r>
            <w:r>
              <w:rPr>
                <w:rFonts w:hint="eastAsia" w:cs="宋体"/>
                <w:b w:val="0"/>
                <w:color w:val="auto"/>
                <w:sz w:val="24"/>
                <w:szCs w:val="24"/>
                <w:highlight w:val="none"/>
                <w:lang w:val="en-US" w:eastAsia="zh-CN"/>
              </w:rPr>
              <w:t>2</w:t>
            </w:r>
            <w:r>
              <w:rPr>
                <w:rFonts w:hint="eastAsia" w:hAnsi="宋体" w:cs="宋体"/>
                <w:b w:val="0"/>
                <w:color w:val="auto"/>
                <w:sz w:val="24"/>
                <w:szCs w:val="24"/>
                <w:highlight w:val="none"/>
                <w:lang w:val="en-US" w:eastAsia="zh-CN"/>
              </w:rPr>
              <w:t>.1</w:t>
            </w:r>
            <w:r>
              <w:rPr>
                <w:rFonts w:eastAsia="宋体"/>
                <w:color w:val="auto"/>
                <w:sz w:val="24"/>
                <w:szCs w:val="24"/>
                <w:highlight w:val="none"/>
                <w:lang w:val="zh-CN"/>
              </w:rPr>
              <w:t>分，一般</w:t>
            </w:r>
            <w:r>
              <w:rPr>
                <w:rFonts w:hint="eastAsia" w:eastAsia="宋体"/>
                <w:color w:val="auto"/>
                <w:sz w:val="24"/>
                <w:szCs w:val="24"/>
                <w:highlight w:val="none"/>
                <w:lang w:val="en-US" w:eastAsia="zh-CN"/>
              </w:rPr>
              <w:t>2</w:t>
            </w:r>
            <w:r>
              <w:rPr>
                <w:rFonts w:eastAsia="宋体"/>
                <w:color w:val="auto"/>
                <w:sz w:val="24"/>
                <w:szCs w:val="24"/>
                <w:highlight w:val="none"/>
                <w:lang w:val="zh-CN"/>
              </w:rPr>
              <w:t>-0分。</w:t>
            </w:r>
          </w:p>
        </w:tc>
      </w:tr>
    </w:tbl>
    <w:p w14:paraId="3838C05D">
      <w:pPr>
        <w:spacing w:line="360" w:lineRule="auto"/>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lang w:eastAsia="zh-CN"/>
        </w:rPr>
        <w:t>注：①投标人自行踏勘现场、并结合工程招标文件内容自行编制本工程</w:t>
      </w:r>
      <w:r>
        <w:rPr>
          <w:rFonts w:hint="eastAsia" w:hAnsi="宋体" w:cs="宋体"/>
          <w:color w:val="auto"/>
          <w:szCs w:val="24"/>
          <w:highlight w:val="none"/>
          <w:lang w:val="en-US" w:eastAsia="zh-CN"/>
        </w:rPr>
        <w:t>检测</w:t>
      </w:r>
      <w:r>
        <w:rPr>
          <w:rFonts w:hint="eastAsia" w:ascii="宋体" w:hAnsi="宋体" w:eastAsia="宋体" w:cs="宋体"/>
          <w:color w:val="auto"/>
          <w:szCs w:val="24"/>
          <w:highlight w:val="none"/>
          <w:lang w:eastAsia="zh-CN"/>
        </w:rPr>
        <w:t>方案；②</w:t>
      </w:r>
      <w:r>
        <w:rPr>
          <w:rFonts w:hint="eastAsia" w:ascii="宋体" w:hAnsi="宋体" w:eastAsia="宋体" w:cs="宋体"/>
          <w:color w:val="auto"/>
          <w:szCs w:val="24"/>
          <w:highlight w:val="none"/>
          <w:lang w:val="en-US" w:eastAsia="zh-CN"/>
        </w:rPr>
        <w:t>评委对投标单位分值服务</w:t>
      </w:r>
      <w:r>
        <w:rPr>
          <w:rFonts w:hint="eastAsia" w:ascii="宋体" w:hAnsi="宋体" w:eastAsia="宋体" w:cs="宋体"/>
          <w:color w:val="auto"/>
          <w:szCs w:val="24"/>
          <w:highlight w:val="none"/>
          <w:lang w:eastAsia="zh-CN"/>
        </w:rPr>
        <w:t>方案</w:t>
      </w:r>
      <w:r>
        <w:rPr>
          <w:rFonts w:hint="eastAsia" w:ascii="宋体" w:hAnsi="宋体" w:eastAsia="宋体" w:cs="宋体"/>
          <w:color w:val="auto"/>
          <w:szCs w:val="24"/>
          <w:highlight w:val="none"/>
          <w:lang w:val="en-US" w:eastAsia="zh-CN"/>
        </w:rPr>
        <w:t>评分在90%以上（含）、60%以下（含）的，该评委要提出充足的理由，并在评标报告中书面记录。③</w:t>
      </w:r>
      <w:r>
        <w:rPr>
          <w:rFonts w:hint="eastAsia" w:ascii="宋体" w:hAnsi="宋体" w:eastAsia="宋体" w:cs="宋体"/>
          <w:color w:val="auto"/>
          <w:szCs w:val="24"/>
          <w:highlight w:val="none"/>
          <w:lang w:eastAsia="zh-CN"/>
        </w:rPr>
        <w:t>本项分数取所有评委评分的平均值作为投标人的得分，计算的结果均按四舍五入原则保留两位小数。</w:t>
      </w:r>
    </w:p>
    <w:p w14:paraId="0A9FB955">
      <w:pPr>
        <w:tabs>
          <w:tab w:val="left" w:pos="945"/>
        </w:tabs>
        <w:snapToGrid w:val="0"/>
        <w:spacing w:line="360" w:lineRule="auto"/>
        <w:jc w:val="center"/>
        <w:outlineLvl w:val="3"/>
        <w:rPr>
          <w:rFonts w:hAnsi="宋体" w:cs="宋体"/>
          <w:b/>
          <w:bCs/>
          <w:color w:val="auto"/>
          <w:highlight w:val="none"/>
        </w:rPr>
      </w:pPr>
      <w:r>
        <w:rPr>
          <w:rFonts w:hint="eastAsia" w:hAnsi="宋体" w:cs="宋体"/>
          <w:b/>
          <w:bCs/>
          <w:color w:val="auto"/>
          <w:highlight w:val="none"/>
        </w:rPr>
        <w:t>【Ⅱ】企业综合实力评分细则（满分</w:t>
      </w:r>
      <w:r>
        <w:rPr>
          <w:rFonts w:hint="eastAsia" w:hAnsi="宋体" w:cs="宋体"/>
          <w:b/>
          <w:bCs/>
          <w:color w:val="auto"/>
          <w:highlight w:val="none"/>
          <w:lang w:val="en-US" w:eastAsia="zh-CN"/>
        </w:rPr>
        <w:t>40</w:t>
      </w:r>
      <w:r>
        <w:rPr>
          <w:rFonts w:hint="eastAsia" w:hAnsi="宋体" w:cs="宋体"/>
          <w:b/>
          <w:bCs/>
          <w:color w:val="auto"/>
          <w:highlight w:val="none"/>
        </w:rPr>
        <w:t>分）</w:t>
      </w:r>
    </w:p>
    <w:tbl>
      <w:tblPr>
        <w:tblStyle w:val="339"/>
        <w:tblW w:w="896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4"/>
        <w:gridCol w:w="1134"/>
        <w:gridCol w:w="776"/>
        <w:gridCol w:w="6385"/>
      </w:tblGrid>
      <w:tr w14:paraId="4BAEF0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674" w:type="dxa"/>
          </w:tcPr>
          <w:p w14:paraId="068697A1">
            <w:pPr>
              <w:pStyle w:val="338"/>
              <w:spacing w:before="200" w:line="230" w:lineRule="auto"/>
              <w:jc w:val="center"/>
              <w:rPr>
                <w:b/>
                <w:bCs/>
                <w:color w:val="auto"/>
                <w:spacing w:val="6"/>
                <w:sz w:val="24"/>
                <w:szCs w:val="24"/>
                <w:highlight w:val="none"/>
              </w:rPr>
            </w:pPr>
            <w:r>
              <w:rPr>
                <w:rFonts w:hint="eastAsia"/>
                <w:b/>
                <w:bCs/>
                <w:color w:val="auto"/>
                <w:spacing w:val="6"/>
                <w:sz w:val="24"/>
                <w:szCs w:val="24"/>
                <w:highlight w:val="none"/>
              </w:rPr>
              <w:t>序号</w:t>
            </w:r>
          </w:p>
        </w:tc>
        <w:tc>
          <w:tcPr>
            <w:tcW w:w="1134" w:type="dxa"/>
          </w:tcPr>
          <w:p w14:paraId="565C8A2D">
            <w:pPr>
              <w:pStyle w:val="338"/>
              <w:spacing w:before="200" w:line="230" w:lineRule="auto"/>
              <w:jc w:val="center"/>
              <w:rPr>
                <w:b/>
                <w:bCs/>
                <w:color w:val="auto"/>
                <w:spacing w:val="6"/>
                <w:sz w:val="24"/>
                <w:szCs w:val="24"/>
                <w:highlight w:val="none"/>
              </w:rPr>
            </w:pPr>
            <w:r>
              <w:rPr>
                <w:rFonts w:hint="eastAsia"/>
                <w:b/>
                <w:bCs/>
                <w:color w:val="auto"/>
                <w:spacing w:val="6"/>
                <w:sz w:val="24"/>
                <w:szCs w:val="24"/>
                <w:highlight w:val="none"/>
              </w:rPr>
              <w:t>评分项目</w:t>
            </w:r>
          </w:p>
        </w:tc>
        <w:tc>
          <w:tcPr>
            <w:tcW w:w="776" w:type="dxa"/>
          </w:tcPr>
          <w:p w14:paraId="701E23D0">
            <w:pPr>
              <w:pStyle w:val="338"/>
              <w:spacing w:before="200" w:line="230" w:lineRule="auto"/>
              <w:jc w:val="center"/>
              <w:rPr>
                <w:b/>
                <w:bCs/>
                <w:color w:val="auto"/>
                <w:spacing w:val="6"/>
                <w:sz w:val="24"/>
                <w:szCs w:val="24"/>
                <w:highlight w:val="none"/>
              </w:rPr>
            </w:pPr>
            <w:r>
              <w:rPr>
                <w:rFonts w:hint="eastAsia"/>
                <w:b/>
                <w:bCs/>
                <w:color w:val="auto"/>
                <w:spacing w:val="6"/>
                <w:sz w:val="24"/>
                <w:szCs w:val="24"/>
                <w:highlight w:val="none"/>
              </w:rPr>
              <w:t>总分</w:t>
            </w:r>
          </w:p>
        </w:tc>
        <w:tc>
          <w:tcPr>
            <w:tcW w:w="6385" w:type="dxa"/>
          </w:tcPr>
          <w:p w14:paraId="0CF04B43">
            <w:pPr>
              <w:pStyle w:val="338"/>
              <w:spacing w:before="200" w:line="230" w:lineRule="auto"/>
              <w:jc w:val="center"/>
              <w:rPr>
                <w:b/>
                <w:bCs/>
                <w:color w:val="auto"/>
                <w:spacing w:val="6"/>
                <w:sz w:val="24"/>
                <w:szCs w:val="24"/>
                <w:highlight w:val="none"/>
              </w:rPr>
            </w:pPr>
            <w:r>
              <w:rPr>
                <w:rFonts w:hint="eastAsia"/>
                <w:b/>
                <w:bCs/>
                <w:color w:val="auto"/>
                <w:spacing w:val="6"/>
                <w:sz w:val="24"/>
                <w:szCs w:val="24"/>
                <w:highlight w:val="none"/>
              </w:rPr>
              <w:t>评分标准</w:t>
            </w:r>
          </w:p>
        </w:tc>
      </w:tr>
      <w:tr w14:paraId="4DD758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1" w:hRule="atLeast"/>
          <w:jc w:val="center"/>
        </w:trPr>
        <w:tc>
          <w:tcPr>
            <w:tcW w:w="674" w:type="dxa"/>
            <w:shd w:val="clear" w:color="auto" w:fill="auto"/>
            <w:vAlign w:val="center"/>
          </w:tcPr>
          <w:p w14:paraId="2FC644B9">
            <w:pPr>
              <w:pStyle w:val="338"/>
              <w:spacing w:before="68" w:line="360" w:lineRule="exact"/>
              <w:jc w:val="center"/>
              <w:rPr>
                <w:rFonts w:hint="default" w:ascii="宋体" w:hAnsi="宋体" w:eastAsia="宋体" w:cs="宋体"/>
                <w:color w:val="auto"/>
                <w:sz w:val="24"/>
                <w:szCs w:val="24"/>
                <w:highlight w:val="none"/>
                <w:lang w:val="en-US" w:eastAsia="zh-CN" w:bidi="ar-SA"/>
              </w:rPr>
            </w:pPr>
            <w:r>
              <w:rPr>
                <w:rFonts w:hint="eastAsia" w:cs="宋体"/>
                <w:color w:val="auto"/>
                <w:sz w:val="24"/>
                <w:szCs w:val="24"/>
                <w:highlight w:val="none"/>
                <w:lang w:val="en-US" w:eastAsia="zh-CN" w:bidi="ar-SA"/>
              </w:rPr>
              <w:t>1</w:t>
            </w:r>
          </w:p>
        </w:tc>
        <w:tc>
          <w:tcPr>
            <w:tcW w:w="1134" w:type="dxa"/>
            <w:vAlign w:val="center"/>
          </w:tcPr>
          <w:p w14:paraId="5E8140D5">
            <w:pPr>
              <w:pStyle w:val="338"/>
              <w:spacing w:before="69" w:line="360" w:lineRule="exact"/>
              <w:jc w:val="center"/>
              <w:rPr>
                <w:color w:val="auto"/>
                <w:sz w:val="24"/>
                <w:szCs w:val="24"/>
                <w:highlight w:val="none"/>
              </w:rPr>
            </w:pPr>
            <w:r>
              <w:rPr>
                <w:rFonts w:hint="eastAsia"/>
                <w:color w:val="auto"/>
                <w:spacing w:val="-3"/>
                <w:sz w:val="24"/>
                <w:szCs w:val="24"/>
                <w:highlight w:val="none"/>
                <w:lang w:eastAsia="zh-CN"/>
              </w:rPr>
              <w:t>投标人</w:t>
            </w:r>
            <w:r>
              <w:rPr>
                <w:rFonts w:hint="eastAsia"/>
                <w:color w:val="auto"/>
                <w:spacing w:val="-3"/>
                <w:sz w:val="24"/>
                <w:szCs w:val="24"/>
                <w:highlight w:val="none"/>
              </w:rPr>
              <w:t>业绩</w:t>
            </w:r>
          </w:p>
        </w:tc>
        <w:tc>
          <w:tcPr>
            <w:tcW w:w="776" w:type="dxa"/>
            <w:vAlign w:val="center"/>
          </w:tcPr>
          <w:p w14:paraId="0B5B8D70">
            <w:pPr>
              <w:pStyle w:val="338"/>
              <w:spacing w:before="68" w:line="360" w:lineRule="exact"/>
              <w:jc w:val="center"/>
              <w:rPr>
                <w:rFonts w:hint="default"/>
                <w:color w:val="auto"/>
                <w:sz w:val="24"/>
                <w:szCs w:val="24"/>
                <w:highlight w:val="none"/>
                <w:lang w:val="en-US" w:eastAsia="zh-CN"/>
              </w:rPr>
            </w:pPr>
            <w:r>
              <w:rPr>
                <w:rFonts w:hint="eastAsia"/>
                <w:color w:val="auto"/>
                <w:spacing w:val="-12"/>
                <w:sz w:val="24"/>
                <w:szCs w:val="24"/>
                <w:highlight w:val="none"/>
                <w:lang w:val="en-US" w:eastAsia="zh-CN"/>
              </w:rPr>
              <w:t>15</w:t>
            </w:r>
          </w:p>
        </w:tc>
        <w:tc>
          <w:tcPr>
            <w:tcW w:w="6385" w:type="dxa"/>
          </w:tcPr>
          <w:p w14:paraId="77158D9E">
            <w:pPr>
              <w:pStyle w:val="338"/>
              <w:spacing w:before="173" w:line="232" w:lineRule="auto"/>
              <w:ind w:left="112" w:leftChars="0" w:right="105" w:rightChars="0" w:firstLine="476" w:firstLineChars="200"/>
              <w:jc w:val="both"/>
              <w:rPr>
                <w:color w:val="auto"/>
                <w:spacing w:val="-1"/>
                <w:sz w:val="24"/>
                <w:szCs w:val="24"/>
                <w:highlight w:val="none"/>
              </w:rPr>
            </w:pPr>
            <w:r>
              <w:rPr>
                <w:rFonts w:hint="eastAsia"/>
                <w:color w:val="auto"/>
                <w:spacing w:val="-1"/>
                <w:sz w:val="24"/>
                <w:szCs w:val="24"/>
                <w:highlight w:val="none"/>
              </w:rPr>
              <w:t>投标人自 20</w:t>
            </w:r>
            <w:r>
              <w:rPr>
                <w:rFonts w:hint="eastAsia"/>
                <w:color w:val="auto"/>
                <w:spacing w:val="-1"/>
                <w:sz w:val="24"/>
                <w:szCs w:val="24"/>
                <w:highlight w:val="none"/>
                <w:lang w:val="en-US" w:eastAsia="zh-CN"/>
              </w:rPr>
              <w:t>20</w:t>
            </w:r>
            <w:r>
              <w:rPr>
                <w:rFonts w:hint="eastAsia"/>
                <w:color w:val="auto"/>
                <w:spacing w:val="-1"/>
                <w:sz w:val="24"/>
                <w:szCs w:val="24"/>
                <w:highlight w:val="none"/>
              </w:rPr>
              <w:t>年1月1日以来（以合同签订时间为准），投标人完成类似</w:t>
            </w:r>
            <w:r>
              <w:rPr>
                <w:rFonts w:hint="eastAsia" w:ascii="宋体" w:hAnsi="宋体" w:eastAsia="宋体"/>
                <w:b w:val="0"/>
                <w:color w:val="auto"/>
                <w:sz w:val="24"/>
                <w:highlight w:val="none"/>
              </w:rPr>
              <w:t>管网CCTV（或QV）</w:t>
            </w:r>
            <w:r>
              <w:rPr>
                <w:rFonts w:hint="eastAsia"/>
                <w:color w:val="auto"/>
                <w:spacing w:val="-1"/>
                <w:sz w:val="24"/>
                <w:szCs w:val="24"/>
                <w:highlight w:val="none"/>
              </w:rPr>
              <w:t>检测项目业绩的，每提供</w:t>
            </w:r>
            <w:r>
              <w:rPr>
                <w:rFonts w:hint="eastAsia"/>
                <w:color w:val="auto"/>
                <w:spacing w:val="-1"/>
                <w:sz w:val="24"/>
                <w:szCs w:val="24"/>
                <w:highlight w:val="none"/>
                <w:lang w:val="en-US" w:eastAsia="zh-CN"/>
              </w:rPr>
              <w:t>一个业绩</w:t>
            </w:r>
            <w:r>
              <w:rPr>
                <w:rFonts w:hint="eastAsia"/>
                <w:color w:val="auto"/>
                <w:spacing w:val="-1"/>
                <w:sz w:val="24"/>
                <w:szCs w:val="24"/>
                <w:highlight w:val="none"/>
              </w:rPr>
              <w:t>得</w:t>
            </w:r>
            <w:r>
              <w:rPr>
                <w:rFonts w:hint="eastAsia"/>
                <w:color w:val="auto"/>
                <w:spacing w:val="-1"/>
                <w:sz w:val="24"/>
                <w:szCs w:val="24"/>
                <w:highlight w:val="none"/>
                <w:lang w:val="en-US" w:eastAsia="zh-CN"/>
              </w:rPr>
              <w:t>5</w:t>
            </w:r>
            <w:r>
              <w:rPr>
                <w:rFonts w:hint="eastAsia"/>
                <w:color w:val="auto"/>
                <w:spacing w:val="-1"/>
                <w:sz w:val="24"/>
                <w:szCs w:val="24"/>
                <w:highlight w:val="none"/>
              </w:rPr>
              <w:t>分，最高得</w:t>
            </w:r>
            <w:r>
              <w:rPr>
                <w:rFonts w:hint="eastAsia"/>
                <w:color w:val="auto"/>
                <w:spacing w:val="-1"/>
                <w:sz w:val="24"/>
                <w:szCs w:val="24"/>
                <w:highlight w:val="none"/>
                <w:lang w:val="en-US" w:eastAsia="zh-CN"/>
              </w:rPr>
              <w:t>15</w:t>
            </w:r>
            <w:r>
              <w:rPr>
                <w:rFonts w:hint="eastAsia"/>
                <w:color w:val="auto"/>
                <w:spacing w:val="-1"/>
                <w:sz w:val="24"/>
                <w:szCs w:val="24"/>
                <w:highlight w:val="none"/>
              </w:rPr>
              <w:t xml:space="preserve">分。 </w:t>
            </w:r>
          </w:p>
          <w:p w14:paraId="4611ED3E">
            <w:pPr>
              <w:pStyle w:val="338"/>
              <w:spacing w:before="173" w:line="232" w:lineRule="auto"/>
              <w:ind w:left="112" w:leftChars="0" w:right="105" w:rightChars="0" w:firstLine="476" w:firstLineChars="200"/>
              <w:jc w:val="both"/>
              <w:rPr>
                <w:rFonts w:hint="default" w:eastAsia="宋体"/>
                <w:color w:val="auto"/>
                <w:spacing w:val="-1"/>
                <w:sz w:val="24"/>
                <w:szCs w:val="24"/>
                <w:highlight w:val="none"/>
                <w:lang w:val="en-US" w:eastAsia="zh-CN"/>
              </w:rPr>
            </w:pPr>
            <w:r>
              <w:rPr>
                <w:rFonts w:hint="eastAsia"/>
                <w:color w:val="auto"/>
                <w:spacing w:val="-1"/>
                <w:sz w:val="24"/>
                <w:szCs w:val="24"/>
                <w:highlight w:val="none"/>
              </w:rPr>
              <w:t>注：</w:t>
            </w:r>
            <w:r>
              <w:rPr>
                <w:rFonts w:hint="eastAsia" w:hAnsi="宋体" w:cs="宋体"/>
                <w:color w:val="auto"/>
                <w:spacing w:val="2"/>
                <w:highlight w:val="none"/>
              </w:rPr>
              <w:t>提供有效的业绩合同</w:t>
            </w:r>
            <w:r>
              <w:rPr>
                <w:rFonts w:hint="eastAsia" w:ascii="宋体" w:hAnsi="宋体" w:eastAsia="宋体"/>
                <w:bCs w:val="0"/>
                <w:color w:val="auto"/>
                <w:sz w:val="24"/>
                <w:highlight w:val="none"/>
              </w:rPr>
              <w:t>和</w:t>
            </w:r>
            <w:r>
              <w:rPr>
                <w:rFonts w:hint="eastAsia" w:ascii="宋体" w:hAnsi="宋体" w:eastAsia="宋体" w:cs="宋体"/>
                <w:color w:val="auto"/>
                <w:sz w:val="24"/>
                <w:highlight w:val="none"/>
              </w:rPr>
              <w:t>验收证明【如</w:t>
            </w:r>
            <w:r>
              <w:rPr>
                <w:rFonts w:hint="eastAsia" w:cs="宋体"/>
                <w:color w:val="auto"/>
                <w:sz w:val="24"/>
                <w:highlight w:val="none"/>
                <w:lang w:val="en-US" w:eastAsia="zh-CN"/>
              </w:rPr>
              <w:t>验收</w:t>
            </w:r>
            <w:r>
              <w:rPr>
                <w:rFonts w:hint="eastAsia" w:ascii="宋体" w:hAnsi="宋体" w:eastAsia="宋体" w:cs="宋体"/>
                <w:color w:val="auto"/>
                <w:sz w:val="24"/>
                <w:highlight w:val="none"/>
              </w:rPr>
              <w:t>报告或业主单位（或合同甲方）出具的证明材料等</w:t>
            </w:r>
            <w:r>
              <w:rPr>
                <w:rFonts w:hint="eastAsia" w:ascii="宋体" w:hAnsi="宋体" w:eastAsia="宋体" w:cs="宋体"/>
                <w:color w:val="auto"/>
                <w:sz w:val="24"/>
                <w:highlight w:val="none"/>
                <w:lang w:eastAsia="zh-CN"/>
              </w:rPr>
              <w:t>】</w:t>
            </w:r>
            <w:r>
              <w:rPr>
                <w:rFonts w:hint="eastAsia" w:hAnsi="宋体" w:cs="宋体"/>
                <w:color w:val="auto"/>
                <w:spacing w:val="2"/>
                <w:highlight w:val="none"/>
              </w:rPr>
              <w:t>，</w:t>
            </w:r>
            <w:r>
              <w:rPr>
                <w:rFonts w:hint="eastAsia"/>
                <w:color w:val="auto"/>
                <w:spacing w:val="-1"/>
                <w:sz w:val="24"/>
                <w:szCs w:val="24"/>
                <w:highlight w:val="none"/>
              </w:rPr>
              <w:t>业绩合同须体现管网</w:t>
            </w:r>
            <w:r>
              <w:rPr>
                <w:rFonts w:hint="eastAsia"/>
                <w:color w:val="auto"/>
                <w:spacing w:val="-1"/>
                <w:sz w:val="24"/>
                <w:szCs w:val="24"/>
                <w:highlight w:val="none"/>
                <w:lang w:val="en-US" w:eastAsia="zh-CN"/>
              </w:rPr>
              <w:t>CCTV</w:t>
            </w:r>
            <w:r>
              <w:rPr>
                <w:rFonts w:hint="eastAsia"/>
                <w:color w:val="auto"/>
                <w:spacing w:val="-1"/>
                <w:sz w:val="24"/>
                <w:szCs w:val="24"/>
                <w:highlight w:val="none"/>
              </w:rPr>
              <w:t>检测</w:t>
            </w:r>
            <w:r>
              <w:rPr>
                <w:rFonts w:hint="eastAsia"/>
                <w:color w:val="auto"/>
                <w:spacing w:val="-1"/>
                <w:sz w:val="24"/>
                <w:szCs w:val="24"/>
                <w:highlight w:val="none"/>
                <w:lang w:val="en-US" w:eastAsia="zh-CN"/>
              </w:rPr>
              <w:t>工作内容</w:t>
            </w:r>
            <w:r>
              <w:rPr>
                <w:rFonts w:hint="eastAsia"/>
                <w:color w:val="auto"/>
                <w:spacing w:val="-1"/>
                <w:sz w:val="24"/>
                <w:szCs w:val="24"/>
                <w:highlight w:val="none"/>
              </w:rPr>
              <w:t>，如若合同内未能体现，需提供业主盖章的证明材料，否则</w:t>
            </w:r>
            <w:r>
              <w:rPr>
                <w:rFonts w:hint="eastAsia"/>
                <w:color w:val="auto"/>
                <w:spacing w:val="-1"/>
                <w:sz w:val="24"/>
                <w:szCs w:val="24"/>
                <w:highlight w:val="none"/>
                <w:lang w:val="en-US" w:eastAsia="zh-CN"/>
              </w:rPr>
              <w:t>不予</w:t>
            </w:r>
            <w:r>
              <w:rPr>
                <w:rFonts w:hint="eastAsia"/>
                <w:color w:val="auto"/>
                <w:spacing w:val="-1"/>
                <w:sz w:val="24"/>
                <w:szCs w:val="24"/>
                <w:highlight w:val="none"/>
              </w:rPr>
              <w:t>认可。</w:t>
            </w:r>
            <w:r>
              <w:rPr>
                <w:rFonts w:hint="eastAsia"/>
                <w:color w:val="auto"/>
                <w:spacing w:val="-1"/>
                <w:sz w:val="24"/>
                <w:szCs w:val="24"/>
                <w:highlight w:val="none"/>
                <w:lang w:val="en-US" w:eastAsia="zh-CN"/>
              </w:rPr>
              <w:t>资格审查业绩可以重复计分。</w:t>
            </w:r>
          </w:p>
        </w:tc>
      </w:tr>
      <w:tr w14:paraId="6D4D70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1" w:hRule="atLeast"/>
          <w:jc w:val="center"/>
        </w:trPr>
        <w:tc>
          <w:tcPr>
            <w:tcW w:w="674" w:type="dxa"/>
            <w:shd w:val="clear" w:color="auto" w:fill="auto"/>
            <w:vAlign w:val="center"/>
          </w:tcPr>
          <w:p w14:paraId="2ADE96BE">
            <w:pPr>
              <w:pStyle w:val="338"/>
              <w:spacing w:before="68" w:line="360" w:lineRule="exact"/>
              <w:jc w:val="center"/>
              <w:rPr>
                <w:rFonts w:hint="eastAsia" w:ascii="宋体" w:hAnsi="宋体" w:eastAsia="宋体" w:cs="宋体"/>
                <w:color w:val="auto"/>
                <w:sz w:val="24"/>
                <w:szCs w:val="24"/>
                <w:highlight w:val="none"/>
                <w:lang w:val="en-US" w:eastAsia="zh-CN" w:bidi="ar-SA"/>
              </w:rPr>
            </w:pPr>
            <w:r>
              <w:rPr>
                <w:rFonts w:hint="eastAsia" w:cs="宋体"/>
                <w:color w:val="auto"/>
                <w:sz w:val="24"/>
                <w:szCs w:val="24"/>
                <w:highlight w:val="none"/>
                <w:lang w:val="en-US" w:eastAsia="zh-CN" w:bidi="ar-SA"/>
              </w:rPr>
              <w:t>2</w:t>
            </w:r>
          </w:p>
        </w:tc>
        <w:tc>
          <w:tcPr>
            <w:tcW w:w="1134" w:type="dxa"/>
            <w:shd w:val="clear" w:color="auto" w:fill="auto"/>
            <w:vAlign w:val="center"/>
          </w:tcPr>
          <w:p w14:paraId="6AA28288">
            <w:pPr>
              <w:pStyle w:val="338"/>
              <w:spacing w:before="69" w:line="360" w:lineRule="exact"/>
              <w:jc w:val="center"/>
              <w:rPr>
                <w:rFonts w:hint="eastAsia" w:ascii="宋体" w:hAnsi="宋体" w:eastAsia="宋体" w:cs="宋体"/>
                <w:color w:val="auto"/>
                <w:sz w:val="24"/>
                <w:szCs w:val="24"/>
                <w:highlight w:val="none"/>
                <w:lang w:val="en-US" w:eastAsia="zh-CN" w:bidi="ar-SA"/>
              </w:rPr>
            </w:pPr>
            <w:r>
              <w:rPr>
                <w:rFonts w:hint="eastAsia"/>
                <w:color w:val="auto"/>
                <w:spacing w:val="-1"/>
                <w:sz w:val="24"/>
                <w:szCs w:val="24"/>
                <w:highlight w:val="none"/>
                <w:lang w:val="en-US" w:eastAsia="zh-CN"/>
              </w:rPr>
              <w:t>项目负责人业绩</w:t>
            </w:r>
          </w:p>
        </w:tc>
        <w:tc>
          <w:tcPr>
            <w:tcW w:w="776" w:type="dxa"/>
            <w:shd w:val="clear" w:color="auto" w:fill="auto"/>
            <w:vAlign w:val="center"/>
          </w:tcPr>
          <w:p w14:paraId="3C26FE68">
            <w:pPr>
              <w:pStyle w:val="338"/>
              <w:spacing w:before="68" w:line="360" w:lineRule="exact"/>
              <w:jc w:val="center"/>
              <w:rPr>
                <w:rFonts w:hint="eastAsia" w:ascii="宋体" w:hAnsi="宋体" w:eastAsia="宋体" w:cs="宋体"/>
                <w:color w:val="auto"/>
                <w:sz w:val="24"/>
                <w:szCs w:val="24"/>
                <w:highlight w:val="none"/>
                <w:lang w:val="en-US" w:eastAsia="zh-CN" w:bidi="ar-SA"/>
              </w:rPr>
            </w:pPr>
            <w:r>
              <w:rPr>
                <w:rFonts w:hint="eastAsia"/>
                <w:color w:val="auto"/>
                <w:spacing w:val="-12"/>
                <w:sz w:val="24"/>
                <w:szCs w:val="24"/>
                <w:highlight w:val="none"/>
                <w:lang w:val="en-US" w:eastAsia="zh-CN"/>
              </w:rPr>
              <w:t>5</w:t>
            </w:r>
          </w:p>
        </w:tc>
        <w:tc>
          <w:tcPr>
            <w:tcW w:w="6385" w:type="dxa"/>
            <w:shd w:val="clear" w:color="auto" w:fill="auto"/>
            <w:vAlign w:val="top"/>
          </w:tcPr>
          <w:p w14:paraId="77D742BA">
            <w:pPr>
              <w:pStyle w:val="338"/>
              <w:spacing w:before="173" w:line="232" w:lineRule="auto"/>
              <w:ind w:left="112" w:leftChars="0" w:right="105" w:rightChars="0" w:firstLine="476" w:firstLineChars="200"/>
              <w:jc w:val="both"/>
              <w:rPr>
                <w:rFonts w:hint="eastAsia"/>
                <w:color w:val="auto"/>
                <w:spacing w:val="-1"/>
                <w:sz w:val="24"/>
                <w:szCs w:val="24"/>
                <w:highlight w:val="none"/>
              </w:rPr>
            </w:pPr>
            <w:r>
              <w:rPr>
                <w:rFonts w:hint="eastAsia"/>
                <w:color w:val="auto"/>
                <w:spacing w:val="-1"/>
                <w:sz w:val="24"/>
                <w:szCs w:val="24"/>
                <w:highlight w:val="none"/>
              </w:rPr>
              <w:t>投标人</w:t>
            </w:r>
            <w:r>
              <w:rPr>
                <w:rFonts w:hint="eastAsia"/>
                <w:color w:val="auto"/>
                <w:spacing w:val="-1"/>
                <w:sz w:val="24"/>
                <w:szCs w:val="24"/>
                <w:highlight w:val="none"/>
                <w:lang w:val="en-US" w:eastAsia="zh-CN"/>
              </w:rPr>
              <w:t>拟派项目负责人</w:t>
            </w:r>
            <w:r>
              <w:rPr>
                <w:rFonts w:hint="eastAsia"/>
                <w:color w:val="auto"/>
                <w:spacing w:val="-1"/>
                <w:sz w:val="24"/>
                <w:szCs w:val="24"/>
                <w:highlight w:val="none"/>
              </w:rPr>
              <w:t>自 20</w:t>
            </w:r>
            <w:r>
              <w:rPr>
                <w:rFonts w:hint="eastAsia"/>
                <w:color w:val="auto"/>
                <w:spacing w:val="-1"/>
                <w:sz w:val="24"/>
                <w:szCs w:val="24"/>
                <w:highlight w:val="none"/>
                <w:lang w:val="en-US" w:eastAsia="zh-CN"/>
              </w:rPr>
              <w:t>20</w:t>
            </w:r>
            <w:r>
              <w:rPr>
                <w:rFonts w:hint="eastAsia"/>
                <w:color w:val="auto"/>
                <w:spacing w:val="-1"/>
                <w:sz w:val="24"/>
                <w:szCs w:val="24"/>
                <w:highlight w:val="none"/>
              </w:rPr>
              <w:t>年1月1日以来（以合同签订时间为准），完成</w:t>
            </w:r>
            <w:r>
              <w:rPr>
                <w:rFonts w:hint="eastAsia"/>
                <w:color w:val="auto"/>
                <w:spacing w:val="-1"/>
                <w:sz w:val="24"/>
                <w:szCs w:val="24"/>
                <w:highlight w:val="none"/>
                <w:lang w:val="en-US" w:eastAsia="zh-CN"/>
              </w:rPr>
              <w:t>过</w:t>
            </w:r>
            <w:r>
              <w:rPr>
                <w:rFonts w:hint="eastAsia"/>
                <w:color w:val="auto"/>
                <w:spacing w:val="-1"/>
                <w:sz w:val="24"/>
                <w:szCs w:val="24"/>
                <w:highlight w:val="none"/>
              </w:rPr>
              <w:t>类似</w:t>
            </w:r>
            <w:r>
              <w:rPr>
                <w:rFonts w:hint="eastAsia" w:ascii="宋体" w:hAnsi="宋体" w:eastAsia="宋体"/>
                <w:b w:val="0"/>
                <w:color w:val="auto"/>
                <w:sz w:val="24"/>
                <w:highlight w:val="none"/>
              </w:rPr>
              <w:t>管网CCTV（或QV）</w:t>
            </w:r>
            <w:r>
              <w:rPr>
                <w:rFonts w:hint="eastAsia"/>
                <w:color w:val="auto"/>
                <w:spacing w:val="-1"/>
                <w:sz w:val="24"/>
                <w:szCs w:val="24"/>
                <w:highlight w:val="none"/>
              </w:rPr>
              <w:t>检测项目业绩的，每提供</w:t>
            </w:r>
            <w:r>
              <w:rPr>
                <w:rFonts w:hint="eastAsia"/>
                <w:color w:val="auto"/>
                <w:spacing w:val="-1"/>
                <w:sz w:val="24"/>
                <w:szCs w:val="24"/>
                <w:highlight w:val="none"/>
                <w:lang w:val="en-US" w:eastAsia="zh-CN"/>
              </w:rPr>
              <w:t>一个业绩</w:t>
            </w:r>
            <w:r>
              <w:rPr>
                <w:rFonts w:hint="eastAsia"/>
                <w:color w:val="auto"/>
                <w:spacing w:val="-1"/>
                <w:sz w:val="24"/>
                <w:szCs w:val="24"/>
                <w:highlight w:val="none"/>
              </w:rPr>
              <w:t xml:space="preserve">得 5 分，最高得 </w:t>
            </w:r>
            <w:r>
              <w:rPr>
                <w:rFonts w:hint="eastAsia"/>
                <w:color w:val="auto"/>
                <w:spacing w:val="-1"/>
                <w:sz w:val="24"/>
                <w:szCs w:val="24"/>
                <w:highlight w:val="none"/>
                <w:lang w:val="en-US" w:eastAsia="zh-CN"/>
              </w:rPr>
              <w:t>5</w:t>
            </w:r>
            <w:r>
              <w:rPr>
                <w:rFonts w:hint="eastAsia"/>
                <w:color w:val="auto"/>
                <w:spacing w:val="-1"/>
                <w:sz w:val="24"/>
                <w:szCs w:val="24"/>
                <w:highlight w:val="none"/>
              </w:rPr>
              <w:t xml:space="preserve">分。 </w:t>
            </w:r>
          </w:p>
          <w:p w14:paraId="0AD1108F">
            <w:pPr>
              <w:pStyle w:val="338"/>
              <w:spacing w:before="173" w:line="232" w:lineRule="auto"/>
              <w:ind w:left="112" w:leftChars="0" w:right="105" w:rightChars="0" w:firstLine="476" w:firstLineChars="200"/>
              <w:jc w:val="both"/>
              <w:rPr>
                <w:rFonts w:hint="default" w:ascii="宋体" w:hAnsi="宋体" w:eastAsia="宋体" w:cs="宋体"/>
                <w:color w:val="auto"/>
                <w:spacing w:val="-1"/>
                <w:sz w:val="24"/>
                <w:szCs w:val="24"/>
                <w:highlight w:val="none"/>
                <w:lang w:val="en-US" w:eastAsia="zh-CN" w:bidi="ar-SA"/>
              </w:rPr>
            </w:pPr>
            <w:r>
              <w:rPr>
                <w:rFonts w:hint="eastAsia"/>
                <w:color w:val="auto"/>
                <w:spacing w:val="-1"/>
                <w:sz w:val="24"/>
                <w:szCs w:val="24"/>
                <w:highlight w:val="none"/>
              </w:rPr>
              <w:t>注：</w:t>
            </w:r>
            <w:r>
              <w:rPr>
                <w:rFonts w:hint="eastAsia" w:hAnsi="宋体" w:cs="宋体"/>
                <w:color w:val="auto"/>
                <w:spacing w:val="2"/>
                <w:highlight w:val="none"/>
              </w:rPr>
              <w:t>提供有效的业绩合同</w:t>
            </w:r>
            <w:r>
              <w:rPr>
                <w:rFonts w:hint="eastAsia" w:ascii="宋体" w:hAnsi="宋体" w:eastAsia="宋体"/>
                <w:bCs w:val="0"/>
                <w:color w:val="auto"/>
                <w:sz w:val="24"/>
                <w:highlight w:val="none"/>
              </w:rPr>
              <w:t>和</w:t>
            </w:r>
            <w:r>
              <w:rPr>
                <w:rFonts w:hint="eastAsia" w:ascii="宋体" w:hAnsi="宋体" w:eastAsia="宋体" w:cs="宋体"/>
                <w:color w:val="auto"/>
                <w:sz w:val="24"/>
                <w:highlight w:val="none"/>
              </w:rPr>
              <w:t>验收证明【如</w:t>
            </w:r>
            <w:r>
              <w:rPr>
                <w:rFonts w:hint="eastAsia" w:cs="宋体"/>
                <w:color w:val="auto"/>
                <w:sz w:val="24"/>
                <w:highlight w:val="none"/>
                <w:lang w:val="en-US" w:eastAsia="zh-CN"/>
              </w:rPr>
              <w:t>验收</w:t>
            </w:r>
            <w:r>
              <w:rPr>
                <w:rFonts w:hint="eastAsia" w:ascii="宋体" w:hAnsi="宋体" w:eastAsia="宋体" w:cs="宋体"/>
                <w:color w:val="auto"/>
                <w:sz w:val="24"/>
                <w:highlight w:val="none"/>
              </w:rPr>
              <w:t>报告或业主单位（或合同甲方）出具的证明材料等</w:t>
            </w:r>
            <w:r>
              <w:rPr>
                <w:rFonts w:hint="eastAsia" w:ascii="宋体" w:hAnsi="宋体" w:eastAsia="宋体" w:cs="宋体"/>
                <w:color w:val="auto"/>
                <w:sz w:val="24"/>
                <w:highlight w:val="none"/>
                <w:lang w:eastAsia="zh-CN"/>
              </w:rPr>
              <w:t>】</w:t>
            </w:r>
            <w:r>
              <w:rPr>
                <w:rFonts w:hint="eastAsia" w:hAnsi="宋体" w:cs="宋体"/>
                <w:color w:val="auto"/>
                <w:spacing w:val="2"/>
                <w:highlight w:val="none"/>
              </w:rPr>
              <w:t>，</w:t>
            </w:r>
            <w:r>
              <w:rPr>
                <w:rFonts w:hint="eastAsia"/>
                <w:color w:val="auto"/>
                <w:spacing w:val="-1"/>
                <w:sz w:val="24"/>
                <w:szCs w:val="24"/>
                <w:highlight w:val="none"/>
              </w:rPr>
              <w:t>业绩合同须体现管网</w:t>
            </w:r>
            <w:r>
              <w:rPr>
                <w:rFonts w:hint="eastAsia"/>
                <w:color w:val="auto"/>
                <w:spacing w:val="-1"/>
                <w:sz w:val="24"/>
                <w:szCs w:val="24"/>
                <w:highlight w:val="none"/>
                <w:lang w:val="en-US" w:eastAsia="zh-CN"/>
              </w:rPr>
              <w:t>CCTV</w:t>
            </w:r>
            <w:r>
              <w:rPr>
                <w:rFonts w:hint="eastAsia"/>
                <w:color w:val="auto"/>
                <w:spacing w:val="-1"/>
                <w:sz w:val="24"/>
                <w:szCs w:val="24"/>
                <w:highlight w:val="none"/>
              </w:rPr>
              <w:t>检测</w:t>
            </w:r>
            <w:r>
              <w:rPr>
                <w:rFonts w:hint="eastAsia"/>
                <w:color w:val="auto"/>
                <w:spacing w:val="-1"/>
                <w:sz w:val="24"/>
                <w:szCs w:val="24"/>
                <w:highlight w:val="none"/>
                <w:lang w:val="en-US" w:eastAsia="zh-CN"/>
              </w:rPr>
              <w:t>工作内容</w:t>
            </w:r>
            <w:r>
              <w:rPr>
                <w:rFonts w:hint="eastAsia"/>
                <w:color w:val="auto"/>
                <w:spacing w:val="-1"/>
                <w:sz w:val="24"/>
                <w:szCs w:val="24"/>
                <w:highlight w:val="none"/>
              </w:rPr>
              <w:t>，如若合同内未能体现，需提供业主盖章的证明材料，否则</w:t>
            </w:r>
            <w:r>
              <w:rPr>
                <w:rFonts w:hint="eastAsia"/>
                <w:color w:val="auto"/>
                <w:spacing w:val="-1"/>
                <w:sz w:val="24"/>
                <w:szCs w:val="24"/>
                <w:highlight w:val="none"/>
                <w:lang w:val="en-US" w:eastAsia="zh-CN"/>
              </w:rPr>
              <w:t>不予</w:t>
            </w:r>
            <w:r>
              <w:rPr>
                <w:rFonts w:hint="eastAsia"/>
                <w:color w:val="auto"/>
                <w:spacing w:val="-1"/>
                <w:sz w:val="24"/>
                <w:szCs w:val="24"/>
                <w:highlight w:val="none"/>
              </w:rPr>
              <w:t>认可。</w:t>
            </w:r>
            <w:r>
              <w:rPr>
                <w:rFonts w:hint="eastAsia"/>
                <w:color w:val="auto"/>
                <w:spacing w:val="-1"/>
                <w:sz w:val="24"/>
                <w:szCs w:val="24"/>
                <w:highlight w:val="none"/>
                <w:lang w:val="en-US" w:eastAsia="zh-CN"/>
              </w:rPr>
              <w:t>资格审查业绩可以重复计分。</w:t>
            </w:r>
          </w:p>
        </w:tc>
      </w:tr>
      <w:tr w14:paraId="68C11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674" w:type="dxa"/>
            <w:shd w:val="clear" w:color="auto" w:fill="auto"/>
            <w:vAlign w:val="center"/>
          </w:tcPr>
          <w:p w14:paraId="56701FF2">
            <w:pPr>
              <w:pStyle w:val="338"/>
              <w:spacing w:before="68" w:line="360" w:lineRule="exact"/>
              <w:jc w:val="center"/>
              <w:rPr>
                <w:rFonts w:hint="default" w:ascii="宋体" w:hAnsi="宋体" w:eastAsia="宋体" w:cs="宋体"/>
                <w:color w:val="auto"/>
                <w:sz w:val="24"/>
                <w:szCs w:val="24"/>
                <w:highlight w:val="none"/>
                <w:lang w:val="en-US" w:eastAsia="zh-CN" w:bidi="ar-SA"/>
              </w:rPr>
            </w:pPr>
            <w:r>
              <w:rPr>
                <w:rFonts w:hint="eastAsia"/>
                <w:color w:val="auto"/>
                <w:sz w:val="24"/>
                <w:szCs w:val="24"/>
                <w:highlight w:val="none"/>
                <w:lang w:val="en-US" w:eastAsia="zh-CN"/>
              </w:rPr>
              <w:t>3</w:t>
            </w:r>
          </w:p>
        </w:tc>
        <w:tc>
          <w:tcPr>
            <w:tcW w:w="1134" w:type="dxa"/>
            <w:vAlign w:val="center"/>
          </w:tcPr>
          <w:p w14:paraId="17BC4081">
            <w:pPr>
              <w:pStyle w:val="338"/>
              <w:spacing w:line="360" w:lineRule="exact"/>
              <w:jc w:val="center"/>
              <w:rPr>
                <w:color w:val="auto"/>
                <w:sz w:val="24"/>
                <w:szCs w:val="24"/>
                <w:highlight w:val="none"/>
                <w:lang w:eastAsia="zh-CN"/>
              </w:rPr>
            </w:pPr>
            <w:r>
              <w:rPr>
                <w:rFonts w:hint="eastAsia"/>
                <w:color w:val="auto"/>
                <w:sz w:val="24"/>
                <w:szCs w:val="24"/>
                <w:highlight w:val="none"/>
                <w:lang w:eastAsia="zh-CN"/>
              </w:rPr>
              <w:t>项目团队 人员综合</w:t>
            </w:r>
          </w:p>
          <w:p w14:paraId="0C914246">
            <w:pPr>
              <w:pStyle w:val="338"/>
              <w:spacing w:line="360" w:lineRule="exact"/>
              <w:jc w:val="center"/>
              <w:rPr>
                <w:color w:val="auto"/>
                <w:spacing w:val="-3"/>
                <w:sz w:val="24"/>
                <w:szCs w:val="24"/>
                <w:highlight w:val="none"/>
                <w:lang w:eastAsia="zh-CN"/>
              </w:rPr>
            </w:pPr>
            <w:r>
              <w:rPr>
                <w:rFonts w:hint="eastAsia"/>
                <w:color w:val="auto"/>
                <w:sz w:val="24"/>
                <w:szCs w:val="24"/>
                <w:highlight w:val="none"/>
                <w:lang w:eastAsia="zh-CN"/>
              </w:rPr>
              <w:t>实力</w:t>
            </w:r>
          </w:p>
        </w:tc>
        <w:tc>
          <w:tcPr>
            <w:tcW w:w="776" w:type="dxa"/>
            <w:vAlign w:val="center"/>
          </w:tcPr>
          <w:p w14:paraId="07D564F6">
            <w:pPr>
              <w:pStyle w:val="338"/>
              <w:spacing w:before="69" w:line="360" w:lineRule="exact"/>
              <w:jc w:val="center"/>
              <w:rPr>
                <w:rFonts w:hint="default"/>
                <w:color w:val="auto"/>
                <w:spacing w:val="-12"/>
                <w:sz w:val="24"/>
                <w:szCs w:val="24"/>
                <w:highlight w:val="none"/>
                <w:lang w:val="en-US" w:eastAsia="zh-CN"/>
              </w:rPr>
            </w:pPr>
            <w:r>
              <w:rPr>
                <w:rFonts w:hint="eastAsia"/>
                <w:color w:val="auto"/>
                <w:spacing w:val="-3"/>
                <w:sz w:val="24"/>
                <w:szCs w:val="24"/>
                <w:highlight w:val="none"/>
                <w:lang w:val="en-US" w:eastAsia="zh-CN"/>
              </w:rPr>
              <w:t>11</w:t>
            </w:r>
          </w:p>
        </w:tc>
        <w:tc>
          <w:tcPr>
            <w:tcW w:w="6385" w:type="dxa"/>
          </w:tcPr>
          <w:p w14:paraId="0B017EB0">
            <w:pPr>
              <w:spacing w:line="400" w:lineRule="exact"/>
              <w:ind w:firstLine="480" w:firstLineChars="200"/>
              <w:jc w:val="left"/>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投标人拟派项目团队人员：</w:t>
            </w:r>
          </w:p>
          <w:p w14:paraId="7A139800">
            <w:pPr>
              <w:numPr>
                <w:ilvl w:val="0"/>
                <w:numId w:val="5"/>
              </w:numPr>
              <w:spacing w:line="400" w:lineRule="exact"/>
              <w:ind w:left="0" w:leftChars="0" w:firstLine="480" w:firstLineChars="200"/>
              <w:jc w:val="left"/>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具有市政公用工程专业二级</w:t>
            </w:r>
            <w:r>
              <w:rPr>
                <w:rFonts w:hint="eastAsia" w:ascii="宋体" w:hAnsi="宋体" w:eastAsia="宋体" w:cs="宋体"/>
                <w:color w:val="auto"/>
                <w:sz w:val="24"/>
                <w:szCs w:val="24"/>
                <w:highlight w:val="none"/>
                <w:lang w:eastAsia="zh-CN"/>
              </w:rPr>
              <w:t>及以上</w:t>
            </w:r>
            <w:r>
              <w:rPr>
                <w:rFonts w:hint="eastAsia" w:ascii="宋体" w:hAnsi="宋体" w:eastAsia="宋体" w:cs="宋体"/>
                <w:color w:val="auto"/>
                <w:sz w:val="24"/>
                <w:szCs w:val="24"/>
                <w:highlight w:val="none"/>
              </w:rPr>
              <w:t>注册建造师证书</w:t>
            </w:r>
            <w:r>
              <w:rPr>
                <w:rFonts w:hint="eastAsia" w:ascii="宋体" w:hAnsi="宋体" w:eastAsia="宋体" w:cs="宋体"/>
                <w:color w:val="auto"/>
                <w:sz w:val="24"/>
                <w:szCs w:val="24"/>
                <w:highlight w:val="none"/>
                <w:lang w:val="en-US" w:eastAsia="zh-CN"/>
              </w:rPr>
              <w:t>或</w:t>
            </w:r>
            <w:r>
              <w:rPr>
                <w:rFonts w:hint="eastAsia" w:ascii="宋体" w:hAnsi="宋体" w:eastAsia="宋体" w:cs="宋体"/>
                <w:color w:val="auto"/>
                <w:sz w:val="24"/>
                <w:szCs w:val="24"/>
                <w:highlight w:val="none"/>
              </w:rPr>
              <w:t>具有</w:t>
            </w:r>
            <w:r>
              <w:rPr>
                <w:rFonts w:hint="eastAsia" w:ascii="宋体" w:hAnsi="宋体" w:eastAsia="宋体" w:cs="宋体"/>
                <w:color w:val="auto"/>
                <w:sz w:val="24"/>
                <w:szCs w:val="24"/>
                <w:highlight w:val="none"/>
                <w:lang w:val="en-US" w:eastAsia="zh-CN"/>
              </w:rPr>
              <w:t>市政工程相关专业或勘察相关专业或测量相关专业中级及以上职称</w:t>
            </w:r>
            <w:r>
              <w:rPr>
                <w:rFonts w:hint="eastAsia" w:hAnsi="宋体" w:cs="宋体"/>
                <w:color w:val="auto"/>
                <w:sz w:val="24"/>
                <w:szCs w:val="24"/>
                <w:highlight w:val="none"/>
                <w:lang w:val="en-US" w:eastAsia="zh-CN"/>
              </w:rPr>
              <w:t>或管道CCTV检测工程师的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每有一个得</w:t>
            </w:r>
            <w:r>
              <w:rPr>
                <w:rFonts w:hint="eastAsia"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分，本项满分</w:t>
            </w:r>
            <w:r>
              <w:rPr>
                <w:rFonts w:hint="eastAsia"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分</w:t>
            </w:r>
            <w:r>
              <w:rPr>
                <w:rFonts w:hint="eastAsia" w:hAnsi="宋体" w:cs="宋体"/>
                <w:color w:val="auto"/>
                <w:sz w:val="24"/>
                <w:szCs w:val="24"/>
                <w:highlight w:val="none"/>
                <w:lang w:val="en-US" w:eastAsia="zh-CN"/>
              </w:rPr>
              <w:t>。</w:t>
            </w:r>
          </w:p>
          <w:p w14:paraId="1A0A8D97">
            <w:pPr>
              <w:numPr>
                <w:ilvl w:val="0"/>
                <w:numId w:val="5"/>
              </w:numPr>
              <w:spacing w:line="400" w:lineRule="exact"/>
              <w:ind w:left="0" w:leftChars="0"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具有有毒有害有限空间作业证书</w:t>
            </w:r>
            <w:r>
              <w:rPr>
                <w:rFonts w:hint="eastAsia" w:hAnsi="宋体" w:cs="宋体"/>
                <w:color w:val="auto"/>
                <w:sz w:val="24"/>
                <w:szCs w:val="24"/>
                <w:highlight w:val="none"/>
                <w:lang w:val="en-US" w:eastAsia="zh-CN"/>
              </w:rPr>
              <w:t>或</w:t>
            </w:r>
            <w:r>
              <w:rPr>
                <w:rFonts w:hint="eastAsia" w:ascii="宋体" w:hAnsi="宋体" w:eastAsia="宋体" w:cs="宋体"/>
                <w:color w:val="auto"/>
                <w:sz w:val="24"/>
                <w:szCs w:val="24"/>
                <w:highlight w:val="none"/>
                <w:lang w:val="en-US" w:eastAsia="zh-CN"/>
              </w:rPr>
              <w:t>排水管道检测作业证书</w:t>
            </w:r>
            <w:r>
              <w:rPr>
                <w:rFonts w:hint="eastAsia" w:hAnsi="宋体" w:cs="宋体"/>
                <w:color w:val="auto"/>
                <w:sz w:val="24"/>
                <w:szCs w:val="24"/>
                <w:highlight w:val="none"/>
                <w:lang w:val="en-US" w:eastAsia="zh-CN"/>
              </w:rPr>
              <w:t>或</w:t>
            </w:r>
            <w:r>
              <w:rPr>
                <w:rFonts w:hint="eastAsia" w:ascii="宋体" w:hAnsi="宋体" w:eastAsia="宋体" w:cs="宋体"/>
                <w:b w:val="0"/>
                <w:bCs/>
                <w:color w:val="auto"/>
                <w:kern w:val="0"/>
                <w:szCs w:val="21"/>
                <w:highlight w:val="none"/>
                <w:lang w:val="en-US" w:eastAsia="zh-CN"/>
              </w:rPr>
              <w:t>下水道高级养护工证书或城镇排水管道检测与评估技术员证书</w:t>
            </w:r>
            <w:r>
              <w:rPr>
                <w:rFonts w:hint="eastAsia" w:ascii="宋体" w:hAnsi="宋体" w:eastAsia="宋体" w:cs="宋体"/>
                <w:color w:val="auto"/>
                <w:sz w:val="24"/>
                <w:szCs w:val="24"/>
                <w:highlight w:val="none"/>
              </w:rPr>
              <w:t>；</w:t>
            </w:r>
            <w:r>
              <w:rPr>
                <w:rFonts w:hint="eastAsia" w:hAnsi="宋体" w:cs="宋体"/>
                <w:color w:val="auto"/>
                <w:sz w:val="24"/>
                <w:szCs w:val="24"/>
                <w:highlight w:val="none"/>
                <w:lang w:val="en-US" w:eastAsia="zh-CN"/>
              </w:rPr>
              <w:t>每有一个得2分，本项满分6分</w:t>
            </w:r>
          </w:p>
          <w:p w14:paraId="081687B1">
            <w:pPr>
              <w:pStyle w:val="338"/>
              <w:spacing w:before="173" w:line="232" w:lineRule="auto"/>
              <w:ind w:left="112" w:leftChars="0" w:right="105" w:rightChars="0" w:firstLine="482" w:firstLineChars="200"/>
              <w:jc w:val="both"/>
              <w:rPr>
                <w:color w:val="auto"/>
                <w:spacing w:val="-1"/>
                <w:sz w:val="24"/>
                <w:szCs w:val="24"/>
                <w:highlight w:val="none"/>
              </w:rPr>
            </w:pPr>
            <w:r>
              <w:rPr>
                <w:rFonts w:hint="eastAsia" w:ascii="宋体" w:hAnsi="宋体" w:eastAsia="宋体" w:cs="宋体"/>
                <w:b/>
                <w:bCs w:val="0"/>
                <w:color w:val="auto"/>
                <w:kern w:val="0"/>
                <w:sz w:val="24"/>
                <w:szCs w:val="24"/>
                <w:highlight w:val="none"/>
                <w:lang w:val="en-US" w:eastAsia="zh-CN"/>
              </w:rPr>
              <w:t>注：①同一人员具有上述两项或两项以上</w:t>
            </w:r>
            <w:r>
              <w:rPr>
                <w:rFonts w:hint="eastAsia" w:ascii="宋体" w:hAnsi="宋体" w:cs="宋体"/>
                <w:b/>
                <w:bCs w:val="0"/>
                <w:color w:val="auto"/>
                <w:kern w:val="0"/>
                <w:sz w:val="24"/>
                <w:szCs w:val="24"/>
                <w:highlight w:val="none"/>
              </w:rPr>
              <w:t>证书的不重复计分，仅按上述评审顺序计分一次。②提供上述人员相应的</w:t>
            </w:r>
            <w:r>
              <w:rPr>
                <w:rFonts w:hint="eastAsia" w:ascii="宋体" w:hAnsi="宋体" w:cs="宋体"/>
                <w:b/>
                <w:bCs w:val="0"/>
                <w:color w:val="auto"/>
                <w:kern w:val="0"/>
                <w:sz w:val="24"/>
                <w:szCs w:val="24"/>
                <w:highlight w:val="none"/>
                <w:lang w:val="en-US" w:eastAsia="zh-CN"/>
              </w:rPr>
              <w:t>有效期内的</w:t>
            </w:r>
            <w:r>
              <w:rPr>
                <w:rFonts w:hint="eastAsia" w:ascii="宋体" w:hAnsi="宋体" w:cs="宋体"/>
                <w:b/>
                <w:bCs w:val="0"/>
                <w:color w:val="auto"/>
                <w:kern w:val="0"/>
                <w:sz w:val="24"/>
                <w:szCs w:val="24"/>
                <w:highlight w:val="none"/>
              </w:rPr>
              <w:t>证书及</w:t>
            </w:r>
            <w:r>
              <w:rPr>
                <w:rFonts w:hint="eastAsia" w:ascii="宋体" w:hAnsi="宋体" w:cs="宋体"/>
                <w:b/>
                <w:bCs w:val="0"/>
                <w:color w:val="auto"/>
                <w:kern w:val="0"/>
                <w:sz w:val="24"/>
                <w:szCs w:val="24"/>
                <w:highlight w:val="none"/>
                <w:lang w:val="en-US" w:eastAsia="zh-CN"/>
              </w:rPr>
              <w:t>在截止投标时间前</w:t>
            </w:r>
            <w:r>
              <w:rPr>
                <w:rFonts w:hint="eastAsia" w:ascii="宋体" w:hAnsi="宋体" w:cs="宋体"/>
                <w:b/>
                <w:bCs w:val="0"/>
                <w:color w:val="auto"/>
                <w:kern w:val="0"/>
                <w:sz w:val="24"/>
                <w:szCs w:val="24"/>
                <w:highlight w:val="none"/>
              </w:rPr>
              <w:t>近半年内在投标人本单位连续三个月的社保缴纳证明，提供在社保平台下载的社保缴纳证明或由社保部门盖章出具的证明，</w:t>
            </w:r>
            <w:r>
              <w:rPr>
                <w:rFonts w:hint="eastAsia" w:ascii="宋体" w:hAnsi="宋体" w:cs="宋体"/>
                <w:b/>
                <w:bCs w:val="0"/>
                <w:color w:val="auto"/>
                <w:kern w:val="0"/>
                <w:sz w:val="24"/>
                <w:szCs w:val="24"/>
                <w:highlight w:val="none"/>
                <w:lang w:val="en-US" w:eastAsia="zh-CN"/>
              </w:rPr>
              <w:t>复印件加盖公章装订在投标文件中</w:t>
            </w:r>
            <w:r>
              <w:rPr>
                <w:rFonts w:hint="eastAsia" w:ascii="宋体" w:hAnsi="宋体" w:cs="宋体"/>
                <w:b/>
                <w:bCs w:val="0"/>
                <w:color w:val="auto"/>
                <w:kern w:val="0"/>
                <w:sz w:val="24"/>
                <w:szCs w:val="24"/>
                <w:highlight w:val="none"/>
              </w:rPr>
              <w:t>，否则不予计分。</w:t>
            </w:r>
            <w:r>
              <w:rPr>
                <w:rFonts w:hint="eastAsia"/>
                <w:color w:val="auto"/>
                <w:spacing w:val="-1"/>
                <w:sz w:val="24"/>
                <w:szCs w:val="24"/>
                <w:highlight w:val="none"/>
              </w:rPr>
              <w:t xml:space="preserve"> </w:t>
            </w:r>
          </w:p>
        </w:tc>
      </w:tr>
      <w:tr w14:paraId="7B81D0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674" w:type="dxa"/>
            <w:vAlign w:val="center"/>
          </w:tcPr>
          <w:p w14:paraId="34BABE20">
            <w:pPr>
              <w:pStyle w:val="338"/>
              <w:spacing w:before="68" w:line="360" w:lineRule="exact"/>
              <w:jc w:val="center"/>
              <w:rPr>
                <w:rFonts w:hint="default"/>
                <w:color w:val="auto"/>
                <w:sz w:val="24"/>
                <w:szCs w:val="24"/>
                <w:highlight w:val="none"/>
                <w:lang w:val="en-US" w:eastAsia="zh-CN"/>
              </w:rPr>
            </w:pPr>
            <w:r>
              <w:rPr>
                <w:rFonts w:hint="eastAsia"/>
                <w:color w:val="auto"/>
                <w:sz w:val="24"/>
                <w:szCs w:val="24"/>
                <w:highlight w:val="none"/>
                <w:lang w:val="en-US" w:eastAsia="zh-CN"/>
              </w:rPr>
              <w:t>4</w:t>
            </w:r>
          </w:p>
        </w:tc>
        <w:tc>
          <w:tcPr>
            <w:tcW w:w="1134" w:type="dxa"/>
            <w:shd w:val="clear" w:color="auto" w:fill="auto"/>
            <w:vAlign w:val="center"/>
          </w:tcPr>
          <w:p w14:paraId="55523524">
            <w:pPr>
              <w:spacing w:line="380" w:lineRule="exact"/>
              <w:jc w:val="center"/>
              <w:rPr>
                <w:rFonts w:hint="eastAsia" w:ascii="仿宋_GB2312" w:hAnsi="仿宋_GB2312" w:eastAsia="仿宋_GB2312" w:cs="仿宋_GB2312"/>
                <w:b/>
                <w:color w:val="auto"/>
                <w:kern w:val="0"/>
                <w:sz w:val="24"/>
                <w:szCs w:val="24"/>
                <w:highlight w:val="none"/>
                <w:lang w:val="en-US" w:eastAsia="zh-CN" w:bidi="ar-SA"/>
              </w:rPr>
            </w:pPr>
            <w:r>
              <w:rPr>
                <w:rFonts w:hint="eastAsia"/>
                <w:color w:val="auto"/>
                <w:sz w:val="24"/>
                <w:szCs w:val="24"/>
                <w:highlight w:val="none"/>
              </w:rPr>
              <w:t>设备配备</w:t>
            </w:r>
          </w:p>
        </w:tc>
        <w:tc>
          <w:tcPr>
            <w:tcW w:w="776" w:type="dxa"/>
            <w:vAlign w:val="center"/>
          </w:tcPr>
          <w:p w14:paraId="75C03287">
            <w:pPr>
              <w:pStyle w:val="338"/>
              <w:spacing w:before="69" w:line="360" w:lineRule="exact"/>
              <w:jc w:val="center"/>
              <w:rPr>
                <w:rFonts w:hint="default"/>
                <w:color w:val="auto"/>
                <w:spacing w:val="-3"/>
                <w:sz w:val="24"/>
                <w:szCs w:val="24"/>
                <w:highlight w:val="none"/>
                <w:lang w:val="en-US" w:eastAsia="zh-CN"/>
              </w:rPr>
            </w:pPr>
            <w:r>
              <w:rPr>
                <w:rFonts w:hint="eastAsia"/>
                <w:color w:val="auto"/>
                <w:spacing w:val="-3"/>
                <w:sz w:val="24"/>
                <w:szCs w:val="24"/>
                <w:highlight w:val="none"/>
                <w:lang w:val="en-US" w:eastAsia="zh-CN"/>
              </w:rPr>
              <w:t>9</w:t>
            </w:r>
          </w:p>
        </w:tc>
        <w:tc>
          <w:tcPr>
            <w:tcW w:w="6385" w:type="dxa"/>
            <w:shd w:val="clear" w:color="auto" w:fill="auto"/>
            <w:vAlign w:val="center"/>
          </w:tcPr>
          <w:p w14:paraId="0BE539CE">
            <w:pPr>
              <w:spacing w:line="360" w:lineRule="exact"/>
              <w:jc w:val="left"/>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投标人拟投入本项目的检测探测设备：</w:t>
            </w:r>
          </w:p>
          <w:p w14:paraId="1E4070E0">
            <w:pPr>
              <w:numPr>
                <w:ilvl w:val="0"/>
                <w:numId w:val="6"/>
              </w:numPr>
              <w:spacing w:line="360" w:lineRule="exact"/>
              <w:ind w:left="0" w:leftChars="0" w:firstLine="480" w:firstLineChars="200"/>
              <w:jc w:val="left"/>
              <w:rPr>
                <w:rFonts w:hint="eastAsia" w:ascii="Times New Roman" w:hAnsi="Times New Roman" w:eastAsia="宋体" w:cs="Times New Roman"/>
                <w:color w:val="auto"/>
                <w:sz w:val="24"/>
                <w:szCs w:val="24"/>
                <w:highlight w:val="none"/>
              </w:rPr>
            </w:pPr>
            <w:r>
              <w:rPr>
                <w:rFonts w:hint="eastAsia" w:ascii="Times New Roman" w:cs="Times New Roman"/>
                <w:color w:val="auto"/>
                <w:sz w:val="24"/>
                <w:szCs w:val="24"/>
                <w:highlight w:val="none"/>
                <w:lang w:val="en-US" w:eastAsia="zh-CN" w:bidi="ar-SA"/>
              </w:rPr>
              <w:t>每有一台</w:t>
            </w:r>
            <w:r>
              <w:rPr>
                <w:rFonts w:hint="eastAsia" w:ascii="Times New Roman" w:hAnsi="Times New Roman" w:eastAsia="宋体" w:cs="Times New Roman"/>
                <w:color w:val="auto"/>
                <w:sz w:val="24"/>
                <w:szCs w:val="24"/>
                <w:highlight w:val="none"/>
              </w:rPr>
              <w:t>CCTV</w:t>
            </w:r>
            <w:r>
              <w:rPr>
                <w:rFonts w:hint="eastAsia" w:ascii="Times New Roman" w:cs="Times New Roman"/>
                <w:color w:val="auto"/>
                <w:sz w:val="24"/>
                <w:szCs w:val="24"/>
                <w:highlight w:val="none"/>
                <w:lang w:eastAsia="zh-CN"/>
              </w:rPr>
              <w:t>（</w:t>
            </w:r>
            <w:r>
              <w:rPr>
                <w:rFonts w:hint="eastAsia" w:ascii="Times New Roman" w:cs="Times New Roman"/>
                <w:color w:val="auto"/>
                <w:sz w:val="24"/>
                <w:szCs w:val="24"/>
                <w:highlight w:val="none"/>
                <w:lang w:val="en-US" w:eastAsia="zh-CN"/>
              </w:rPr>
              <w:t>或QV</w:t>
            </w:r>
            <w:r>
              <w:rPr>
                <w:rFonts w:hint="eastAsia" w:ascii="Times New Roman"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管道检测</w:t>
            </w:r>
            <w:r>
              <w:rPr>
                <w:rFonts w:hint="eastAsia" w:ascii="Times New Roman" w:hAnsi="Times New Roman" w:eastAsia="宋体" w:cs="Times New Roman"/>
                <w:color w:val="auto"/>
                <w:sz w:val="24"/>
                <w:szCs w:val="24"/>
                <w:highlight w:val="none"/>
                <w:lang w:val="en-US" w:eastAsia="zh-CN"/>
              </w:rPr>
              <w:t>设备</w:t>
            </w:r>
            <w:r>
              <w:rPr>
                <w:rFonts w:hint="eastAsia" w:ascii="Times New Roman" w:cs="Times New Roman"/>
                <w:color w:val="auto"/>
                <w:sz w:val="24"/>
                <w:szCs w:val="24"/>
                <w:highlight w:val="none"/>
                <w:lang w:val="en-US" w:eastAsia="zh-CN"/>
              </w:rPr>
              <w:t>的得2分，满分6分</w:t>
            </w:r>
            <w:r>
              <w:rPr>
                <w:rFonts w:hint="eastAsia" w:ascii="Times New Roman" w:hAnsi="Times New Roman" w:eastAsia="宋体" w:cs="Times New Roman"/>
                <w:color w:val="auto"/>
                <w:sz w:val="24"/>
                <w:szCs w:val="24"/>
                <w:highlight w:val="none"/>
              </w:rPr>
              <w:t>；</w:t>
            </w:r>
          </w:p>
          <w:p w14:paraId="5DDA53D0">
            <w:pPr>
              <w:numPr>
                <w:ilvl w:val="0"/>
                <w:numId w:val="6"/>
              </w:numPr>
              <w:spacing w:line="360" w:lineRule="exact"/>
              <w:ind w:left="0" w:leftChars="0"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cs="Times New Roman"/>
                <w:color w:val="auto"/>
                <w:sz w:val="24"/>
                <w:szCs w:val="24"/>
                <w:highlight w:val="none"/>
                <w:lang w:val="en-US" w:eastAsia="zh-CN" w:bidi="ar-SA"/>
              </w:rPr>
              <w:t>每有一台</w:t>
            </w:r>
            <w:r>
              <w:rPr>
                <w:rFonts w:hint="eastAsia" w:ascii="Times New Roman" w:hAnsi="Times New Roman" w:eastAsia="宋体" w:cs="Times New Roman"/>
                <w:color w:val="auto"/>
                <w:sz w:val="24"/>
                <w:szCs w:val="24"/>
                <w:highlight w:val="none"/>
              </w:rPr>
              <w:t>通风</w:t>
            </w:r>
            <w:r>
              <w:rPr>
                <w:rFonts w:hint="eastAsia" w:ascii="Times New Roman" w:cs="Times New Roman"/>
                <w:color w:val="auto"/>
                <w:sz w:val="24"/>
                <w:szCs w:val="24"/>
                <w:highlight w:val="none"/>
                <w:lang w:val="en-US" w:eastAsia="zh-CN"/>
              </w:rPr>
              <w:t>设备（轴流风机等）的得1分，满分1分</w:t>
            </w:r>
            <w:r>
              <w:rPr>
                <w:rFonts w:hint="eastAsia" w:ascii="Times New Roman" w:hAnsi="Times New Roman" w:eastAsia="宋体" w:cs="Times New Roman"/>
                <w:color w:val="auto"/>
                <w:sz w:val="24"/>
                <w:szCs w:val="24"/>
                <w:highlight w:val="none"/>
              </w:rPr>
              <w:t>；</w:t>
            </w:r>
          </w:p>
          <w:p w14:paraId="0EB543C8">
            <w:pPr>
              <w:numPr>
                <w:ilvl w:val="0"/>
                <w:numId w:val="6"/>
              </w:numPr>
              <w:spacing w:line="360" w:lineRule="exact"/>
              <w:ind w:left="0" w:leftChars="0" w:firstLine="480" w:firstLineChars="200"/>
              <w:jc w:val="left"/>
              <w:rPr>
                <w:rFonts w:hint="eastAsia" w:ascii="Times New Roman" w:cs="Times New Roman"/>
                <w:color w:val="auto"/>
                <w:sz w:val="24"/>
                <w:szCs w:val="24"/>
                <w:highlight w:val="none"/>
                <w:lang w:val="en-US" w:eastAsia="zh-CN"/>
              </w:rPr>
            </w:pPr>
            <w:r>
              <w:rPr>
                <w:rFonts w:hint="eastAsia" w:ascii="Times New Roman" w:cs="Times New Roman"/>
                <w:color w:val="auto"/>
                <w:sz w:val="24"/>
                <w:szCs w:val="24"/>
                <w:highlight w:val="none"/>
                <w:lang w:val="en-US" w:eastAsia="zh-CN" w:bidi="ar-SA"/>
              </w:rPr>
              <w:t>每有一台</w:t>
            </w:r>
            <w:r>
              <w:rPr>
                <w:rFonts w:hint="eastAsia" w:ascii="Times New Roman" w:hAnsi="Times New Roman" w:eastAsia="宋体" w:cs="Times New Roman"/>
                <w:color w:val="auto"/>
                <w:sz w:val="24"/>
                <w:szCs w:val="24"/>
                <w:highlight w:val="none"/>
                <w:lang w:val="en-US" w:eastAsia="zh-CN"/>
              </w:rPr>
              <w:t>测量</w:t>
            </w:r>
            <w:r>
              <w:rPr>
                <w:rFonts w:hint="eastAsia" w:ascii="Times New Roman" w:cs="Times New Roman"/>
                <w:color w:val="auto"/>
                <w:sz w:val="24"/>
                <w:szCs w:val="24"/>
                <w:highlight w:val="none"/>
                <w:lang w:val="en-US" w:eastAsia="zh-CN"/>
              </w:rPr>
              <w:t>设备（全站仪或GPS或GNSS等）的得1分，满分1分</w:t>
            </w:r>
            <w:r>
              <w:rPr>
                <w:rFonts w:hint="eastAsia" w:ascii="Times New Roman" w:hAnsi="Times New Roman" w:eastAsia="宋体" w:cs="Times New Roman"/>
                <w:color w:val="auto"/>
                <w:sz w:val="24"/>
                <w:szCs w:val="24"/>
                <w:highlight w:val="none"/>
              </w:rPr>
              <w:t>；</w:t>
            </w:r>
            <w:r>
              <w:rPr>
                <w:rFonts w:hint="eastAsia" w:ascii="Times New Roman" w:cs="Times New Roman"/>
                <w:color w:val="auto"/>
                <w:sz w:val="24"/>
                <w:szCs w:val="24"/>
                <w:highlight w:val="none"/>
                <w:lang w:val="en-US" w:eastAsia="zh-CN"/>
              </w:rPr>
              <w:t>；</w:t>
            </w:r>
          </w:p>
          <w:p w14:paraId="5DBD6D44">
            <w:pPr>
              <w:numPr>
                <w:ilvl w:val="0"/>
                <w:numId w:val="6"/>
              </w:numPr>
              <w:spacing w:line="360" w:lineRule="exact"/>
              <w:ind w:left="0" w:leftChars="0" w:firstLine="480" w:firstLineChars="200"/>
              <w:jc w:val="left"/>
              <w:rPr>
                <w:rFonts w:hint="eastAsia" w:ascii="Times New Roman" w:hAnsi="Times New Roman" w:eastAsia="宋体" w:cs="Times New Roman"/>
                <w:color w:val="auto"/>
                <w:sz w:val="24"/>
                <w:szCs w:val="24"/>
                <w:highlight w:val="none"/>
              </w:rPr>
            </w:pPr>
            <w:r>
              <w:rPr>
                <w:rFonts w:hint="eastAsia" w:ascii="Times New Roman" w:cs="Times New Roman"/>
                <w:color w:val="auto"/>
                <w:sz w:val="24"/>
                <w:szCs w:val="24"/>
                <w:highlight w:val="none"/>
                <w:lang w:val="en-US" w:eastAsia="zh-CN" w:bidi="ar-SA"/>
              </w:rPr>
              <w:t>每有一台</w:t>
            </w:r>
            <w:r>
              <w:rPr>
                <w:rFonts w:hint="eastAsia" w:ascii="Times New Roman" w:hAnsi="Times New Roman" w:eastAsia="宋体" w:cs="Times New Roman"/>
                <w:color w:val="auto"/>
                <w:sz w:val="24"/>
                <w:szCs w:val="24"/>
                <w:highlight w:val="none"/>
              </w:rPr>
              <w:t>毒气检测</w:t>
            </w:r>
            <w:r>
              <w:rPr>
                <w:rFonts w:hint="eastAsia" w:ascii="Times New Roman" w:cs="Times New Roman"/>
                <w:color w:val="auto"/>
                <w:sz w:val="24"/>
                <w:szCs w:val="24"/>
                <w:highlight w:val="none"/>
                <w:lang w:val="en-US" w:eastAsia="zh-CN"/>
              </w:rPr>
              <w:t>设备（</w:t>
            </w:r>
            <w:r>
              <w:rPr>
                <w:rFonts w:hint="eastAsia" w:ascii="宋体" w:hAnsi="宋体" w:eastAsia="宋体" w:cs="宋体"/>
                <w:color w:val="000000"/>
                <w:kern w:val="0"/>
                <w:sz w:val="24"/>
                <w:szCs w:val="24"/>
                <w:highlight w:val="none"/>
                <w:lang w:val="en-US" w:eastAsia="zh-CN" w:bidi="ar"/>
              </w:rPr>
              <w:t>有害气体检测仪</w:t>
            </w:r>
            <w:r>
              <w:rPr>
                <w:rFonts w:hint="eastAsia" w:hAnsi="宋体" w:cs="宋体"/>
                <w:color w:val="000000"/>
                <w:kern w:val="0"/>
                <w:sz w:val="24"/>
                <w:szCs w:val="24"/>
                <w:highlight w:val="none"/>
                <w:lang w:val="en-US" w:eastAsia="zh-CN" w:bidi="ar"/>
              </w:rPr>
              <w:t>等</w:t>
            </w:r>
            <w:r>
              <w:rPr>
                <w:rFonts w:hint="eastAsia" w:ascii="Times New Roman" w:cs="Times New Roman"/>
                <w:color w:val="auto"/>
                <w:sz w:val="24"/>
                <w:szCs w:val="24"/>
                <w:highlight w:val="none"/>
                <w:lang w:val="en-US" w:eastAsia="zh-CN"/>
              </w:rPr>
              <w:t>）的得1分，满分1分</w:t>
            </w:r>
            <w:r>
              <w:rPr>
                <w:rFonts w:hint="eastAsia" w:ascii="Times New Roman" w:hAnsi="Times New Roman" w:eastAsia="宋体" w:cs="Times New Roman"/>
                <w:color w:val="auto"/>
                <w:sz w:val="24"/>
                <w:szCs w:val="24"/>
                <w:highlight w:val="none"/>
              </w:rPr>
              <w:t>；</w:t>
            </w:r>
          </w:p>
          <w:p w14:paraId="30B9DD20">
            <w:pPr>
              <w:adjustRightInd w:val="0"/>
              <w:snapToGrid w:val="0"/>
              <w:spacing w:line="360" w:lineRule="exact"/>
              <w:ind w:firstLine="482" w:firstLineChars="200"/>
              <w:rPr>
                <w:rFonts w:hint="eastAsia" w:ascii="仿宋_GB2312" w:hAnsi="仿宋_GB2312" w:eastAsia="宋体" w:cs="仿宋_GB2312"/>
                <w:color w:val="auto"/>
                <w:kern w:val="0"/>
                <w:sz w:val="24"/>
                <w:szCs w:val="24"/>
                <w:highlight w:val="none"/>
                <w:lang w:val="en-US" w:eastAsia="zh-CN" w:bidi="ar-SA"/>
              </w:rPr>
            </w:pPr>
            <w:r>
              <w:rPr>
                <w:rFonts w:hint="eastAsia"/>
                <w:b/>
                <w:bCs/>
                <w:color w:val="auto"/>
                <w:sz w:val="24"/>
                <w:szCs w:val="24"/>
                <w:highlight w:val="none"/>
              </w:rPr>
              <w:t>注：</w:t>
            </w:r>
            <w:r>
              <w:rPr>
                <w:rFonts w:hint="eastAsia"/>
                <w:b/>
                <w:bCs/>
                <w:color w:val="auto"/>
                <w:sz w:val="24"/>
                <w:szCs w:val="24"/>
                <w:highlight w:val="none"/>
                <w:lang w:val="en-US" w:eastAsia="zh-CN"/>
              </w:rPr>
              <w:t>自有的须</w:t>
            </w:r>
            <w:r>
              <w:rPr>
                <w:rFonts w:hint="eastAsia" w:ascii="宋体" w:hAnsi="宋体" w:cs="宋体"/>
                <w:b/>
                <w:bCs/>
                <w:color w:val="auto"/>
                <w:kern w:val="0"/>
                <w:sz w:val="24"/>
                <w:szCs w:val="24"/>
                <w:highlight w:val="none"/>
              </w:rPr>
              <w:t>提供上述设备的购置发票（发票上购买方为投标人企业或投标人企业法定代表人）</w:t>
            </w:r>
            <w:r>
              <w:rPr>
                <w:rFonts w:hint="eastAsia" w:ascii="宋体" w:hAnsi="宋体" w:cs="宋体"/>
                <w:b/>
                <w:bCs/>
                <w:color w:val="auto"/>
                <w:kern w:val="0"/>
                <w:sz w:val="24"/>
                <w:szCs w:val="24"/>
                <w:highlight w:val="none"/>
                <w:lang w:eastAsia="zh-CN"/>
              </w:rPr>
              <w:t>；</w:t>
            </w:r>
            <w:r>
              <w:rPr>
                <w:rFonts w:hint="eastAsia" w:ascii="宋体" w:hAnsi="宋体" w:cs="宋体"/>
                <w:b/>
                <w:bCs/>
                <w:color w:val="auto"/>
                <w:sz w:val="24"/>
                <w:szCs w:val="24"/>
                <w:highlight w:val="none"/>
              </w:rPr>
              <w:t>租赁的</w:t>
            </w:r>
            <w:r>
              <w:rPr>
                <w:rFonts w:hint="eastAsia" w:ascii="宋体" w:hAnsi="宋体" w:cs="宋体"/>
                <w:b/>
                <w:bCs/>
                <w:color w:val="auto"/>
                <w:sz w:val="24"/>
                <w:szCs w:val="24"/>
                <w:highlight w:val="none"/>
                <w:lang w:val="en-US" w:eastAsia="zh-CN"/>
              </w:rPr>
              <w:t>须</w:t>
            </w:r>
            <w:r>
              <w:rPr>
                <w:rFonts w:hint="eastAsia" w:ascii="宋体" w:hAnsi="宋体" w:cs="宋体"/>
                <w:b/>
                <w:bCs/>
                <w:color w:val="auto"/>
                <w:sz w:val="24"/>
                <w:szCs w:val="24"/>
                <w:highlight w:val="none"/>
              </w:rPr>
              <w:t>提供租赁合同</w:t>
            </w:r>
            <w:r>
              <w:rPr>
                <w:rFonts w:hint="eastAsia" w:hAnsi="宋体" w:cs="宋体"/>
                <w:b/>
                <w:bCs/>
                <w:color w:val="auto"/>
                <w:sz w:val="24"/>
                <w:szCs w:val="24"/>
                <w:highlight w:val="none"/>
                <w:lang w:val="en-US" w:eastAsia="zh-CN"/>
              </w:rPr>
              <w:t>及出租方的设备购置发票</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合同上租赁方</w:t>
            </w:r>
            <w:r>
              <w:rPr>
                <w:rFonts w:hint="eastAsia" w:ascii="宋体" w:hAnsi="宋体" w:cs="宋体"/>
                <w:b/>
                <w:bCs/>
                <w:color w:val="auto"/>
                <w:kern w:val="0"/>
                <w:sz w:val="24"/>
                <w:szCs w:val="24"/>
                <w:highlight w:val="none"/>
              </w:rPr>
              <w:t>为投标人企业或投标人企业法定代表人</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rPr>
              <w:t>。</w:t>
            </w:r>
          </w:p>
        </w:tc>
      </w:tr>
    </w:tbl>
    <w:p w14:paraId="14B46186">
      <w:pPr>
        <w:spacing w:line="360" w:lineRule="auto"/>
        <w:outlineLvl w:val="2"/>
        <w:rPr>
          <w:rFonts w:hAnsi="宋体" w:cs="宋体"/>
          <w:b/>
          <w:color w:val="auto"/>
          <w:szCs w:val="24"/>
          <w:highlight w:val="none"/>
        </w:rPr>
      </w:pPr>
      <w:r>
        <w:rPr>
          <w:rFonts w:hint="eastAsia" w:hAnsi="宋体" w:cs="宋体"/>
          <w:b/>
          <w:color w:val="auto"/>
          <w:highlight w:val="none"/>
        </w:rPr>
        <w:t>5.商务标评审（满分</w:t>
      </w:r>
      <w:r>
        <w:rPr>
          <w:rFonts w:hint="eastAsia" w:hAnsi="宋体" w:cs="宋体"/>
          <w:b/>
          <w:color w:val="auto"/>
          <w:highlight w:val="none"/>
          <w:lang w:val="en-US" w:eastAsia="zh-CN"/>
        </w:rPr>
        <w:t>30</w:t>
      </w:r>
      <w:r>
        <w:rPr>
          <w:rFonts w:hint="eastAsia" w:hAnsi="宋体" w:cs="宋体"/>
          <w:b/>
          <w:color w:val="auto"/>
          <w:highlight w:val="none"/>
        </w:rPr>
        <w:t>分）</w:t>
      </w:r>
    </w:p>
    <w:p w14:paraId="60C4C3AF">
      <w:pPr>
        <w:spacing w:line="360" w:lineRule="auto"/>
        <w:ind w:firstLine="472" w:firstLineChars="196"/>
        <w:outlineLvl w:val="2"/>
        <w:rPr>
          <w:rFonts w:hAnsi="宋体" w:cs="宋体"/>
          <w:b/>
          <w:color w:val="auto"/>
          <w:szCs w:val="24"/>
          <w:highlight w:val="none"/>
        </w:rPr>
      </w:pPr>
      <w:r>
        <w:rPr>
          <w:rFonts w:hint="eastAsia" w:hAnsi="宋体" w:cs="宋体"/>
          <w:b/>
          <w:color w:val="auto"/>
          <w:szCs w:val="24"/>
          <w:highlight w:val="none"/>
        </w:rPr>
        <w:t>5.1</w:t>
      </w:r>
      <w:r>
        <w:rPr>
          <w:rFonts w:hint="eastAsia" w:hAnsi="宋体" w:cs="宋体"/>
          <w:b/>
          <w:color w:val="auto"/>
          <w:highlight w:val="none"/>
        </w:rPr>
        <w:t>商务标</w:t>
      </w:r>
      <w:r>
        <w:rPr>
          <w:rFonts w:hint="eastAsia" w:hAnsi="宋体" w:cs="宋体"/>
          <w:b/>
          <w:color w:val="auto"/>
          <w:szCs w:val="24"/>
          <w:highlight w:val="none"/>
        </w:rPr>
        <w:t>初步评审</w:t>
      </w:r>
    </w:p>
    <w:p w14:paraId="097FAD16">
      <w:pPr>
        <w:spacing w:line="360" w:lineRule="auto"/>
        <w:rPr>
          <w:rFonts w:hAnsi="宋体" w:cs="宋体"/>
          <w:color w:val="auto"/>
          <w:szCs w:val="24"/>
          <w:highlight w:val="none"/>
        </w:rPr>
      </w:pPr>
      <w:r>
        <w:rPr>
          <w:rFonts w:hint="eastAsia" w:hAnsi="宋体" w:cs="宋体"/>
          <w:b/>
          <w:color w:val="auto"/>
          <w:szCs w:val="24"/>
          <w:highlight w:val="none"/>
        </w:rPr>
        <w:t xml:space="preserve">  </w:t>
      </w:r>
      <w:r>
        <w:rPr>
          <w:rFonts w:hint="eastAsia" w:hAnsi="宋体" w:cs="宋体"/>
          <w:color w:val="auto"/>
          <w:szCs w:val="24"/>
          <w:highlight w:val="none"/>
        </w:rPr>
        <w:t xml:space="preserve">  5.1.1由评标委员会对通过前述各步骤评审的全部商务标书进行符合性检查。符合性检查中发现商务标存在以下重大偏差之一者，将作为</w:t>
      </w:r>
      <w:r>
        <w:rPr>
          <w:rFonts w:hint="eastAsia" w:hAnsi="宋体" w:cs="宋体"/>
          <w:color w:val="auto"/>
          <w:szCs w:val="24"/>
          <w:highlight w:val="none"/>
          <w:lang w:val="en-US" w:eastAsia="zh-CN"/>
        </w:rPr>
        <w:t>否决投标</w:t>
      </w:r>
      <w:r>
        <w:rPr>
          <w:rFonts w:hint="eastAsia" w:hAnsi="宋体" w:cs="宋体"/>
          <w:color w:val="auto"/>
          <w:szCs w:val="24"/>
          <w:highlight w:val="none"/>
        </w:rPr>
        <w:t xml:space="preserve">处理： </w:t>
      </w:r>
    </w:p>
    <w:p w14:paraId="17DFAE18">
      <w:pPr>
        <w:spacing w:line="360" w:lineRule="auto"/>
        <w:ind w:firstLine="480" w:firstLineChars="200"/>
        <w:rPr>
          <w:rFonts w:hint="eastAsia" w:hAnsi="宋体" w:cs="宋体"/>
          <w:color w:val="auto"/>
          <w:szCs w:val="24"/>
          <w:highlight w:val="none"/>
        </w:rPr>
      </w:pPr>
      <w:r>
        <w:rPr>
          <w:rFonts w:hint="eastAsia" w:hAnsi="宋体" w:cs="宋体"/>
          <w:color w:val="auto"/>
          <w:szCs w:val="24"/>
          <w:highlight w:val="none"/>
        </w:rPr>
        <w:t>①投标总报价高于最高投标限价总价的，投标人各分项投标报价超过各分项最高投标限价的，投标人各投标单价超过最高单价限价的。</w:t>
      </w:r>
    </w:p>
    <w:p w14:paraId="69DF68F9">
      <w:pPr>
        <w:spacing w:line="360" w:lineRule="auto"/>
        <w:ind w:firstLine="480" w:firstLineChars="200"/>
        <w:rPr>
          <w:rFonts w:hAnsi="宋体" w:cs="宋体"/>
          <w:color w:val="auto"/>
          <w:szCs w:val="24"/>
          <w:highlight w:val="none"/>
        </w:rPr>
      </w:pPr>
      <w:r>
        <w:rPr>
          <w:rFonts w:hint="eastAsia" w:hAnsi="宋体" w:cs="宋体"/>
          <w:color w:val="auto"/>
          <w:szCs w:val="24"/>
          <w:highlight w:val="none"/>
        </w:rPr>
        <w:t>②投标文件中填报的报价表中的格式、内容及工程量与招标人提供给投标人报价格式、内容及工程量不一致，以致影响评标结果的。</w:t>
      </w:r>
    </w:p>
    <w:p w14:paraId="3B94AC99">
      <w:pPr>
        <w:spacing w:line="360" w:lineRule="auto"/>
        <w:ind w:firstLine="480" w:firstLineChars="200"/>
        <w:rPr>
          <w:rFonts w:hAnsi="宋体" w:cs="宋体"/>
          <w:color w:val="auto"/>
          <w:szCs w:val="24"/>
          <w:highlight w:val="none"/>
        </w:rPr>
      </w:pPr>
      <w:r>
        <w:rPr>
          <w:rFonts w:hint="eastAsia" w:hAnsi="宋体" w:cs="宋体"/>
          <w:color w:val="auto"/>
          <w:szCs w:val="24"/>
          <w:highlight w:val="none"/>
        </w:rPr>
        <w:fldChar w:fldCharType="begin"/>
      </w:r>
      <w:r>
        <w:rPr>
          <w:rFonts w:hint="eastAsia" w:hAnsi="宋体" w:cs="宋体"/>
          <w:color w:val="auto"/>
          <w:szCs w:val="24"/>
          <w:highlight w:val="none"/>
        </w:rPr>
        <w:instrText xml:space="preserve"> = 3 \* GB3 </w:instrText>
      </w:r>
      <w:r>
        <w:rPr>
          <w:rFonts w:hint="eastAsia" w:hAnsi="宋体" w:cs="宋体"/>
          <w:color w:val="auto"/>
          <w:szCs w:val="24"/>
          <w:highlight w:val="none"/>
        </w:rPr>
        <w:fldChar w:fldCharType="separate"/>
      </w:r>
      <w:r>
        <w:rPr>
          <w:rFonts w:hint="eastAsia" w:hAnsi="宋体" w:cs="宋体"/>
          <w:color w:val="auto"/>
          <w:szCs w:val="24"/>
          <w:highlight w:val="none"/>
        </w:rPr>
        <w:t>③</w:t>
      </w:r>
      <w:r>
        <w:rPr>
          <w:rFonts w:hint="eastAsia" w:hAnsi="宋体" w:cs="宋体"/>
          <w:color w:val="auto"/>
          <w:szCs w:val="24"/>
          <w:highlight w:val="none"/>
        </w:rPr>
        <w:fldChar w:fldCharType="end"/>
      </w:r>
      <w:r>
        <w:rPr>
          <w:rFonts w:hint="eastAsia" w:hAnsi="宋体" w:cs="宋体"/>
          <w:color w:val="auto"/>
          <w:szCs w:val="24"/>
          <w:highlight w:val="none"/>
        </w:rPr>
        <w:t>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66DB3451">
      <w:pPr>
        <w:spacing w:line="360" w:lineRule="auto"/>
        <w:ind w:firstLine="480" w:firstLineChars="200"/>
        <w:rPr>
          <w:rFonts w:hAnsi="宋体" w:cs="宋体"/>
          <w:color w:val="auto"/>
          <w:szCs w:val="24"/>
          <w:highlight w:val="none"/>
        </w:rPr>
      </w:pPr>
      <w:r>
        <w:rPr>
          <w:rFonts w:hint="eastAsia" w:hAnsi="宋体" w:cs="宋体"/>
          <w:color w:val="auto"/>
          <w:szCs w:val="24"/>
          <w:highlight w:val="none"/>
        </w:rPr>
        <w:t>④有关法律、法规规定的其它</w:t>
      </w:r>
      <w:r>
        <w:rPr>
          <w:rFonts w:hint="eastAsia" w:hAnsi="宋体" w:cs="宋体"/>
          <w:color w:val="auto"/>
          <w:szCs w:val="24"/>
          <w:highlight w:val="none"/>
          <w:lang w:val="en-US" w:eastAsia="zh-CN"/>
        </w:rPr>
        <w:t>否决投标</w:t>
      </w:r>
      <w:r>
        <w:rPr>
          <w:rFonts w:hint="eastAsia" w:hAnsi="宋体" w:cs="宋体"/>
          <w:color w:val="auto"/>
          <w:szCs w:val="24"/>
          <w:highlight w:val="none"/>
        </w:rPr>
        <w:t>条件。</w:t>
      </w:r>
    </w:p>
    <w:p w14:paraId="281F7021">
      <w:pPr>
        <w:spacing w:line="360" w:lineRule="auto"/>
        <w:ind w:firstLine="480" w:firstLineChars="200"/>
        <w:rPr>
          <w:rFonts w:hAnsi="宋体" w:cs="宋体"/>
          <w:color w:val="auto"/>
          <w:szCs w:val="24"/>
          <w:highlight w:val="none"/>
        </w:rPr>
      </w:pPr>
      <w:r>
        <w:rPr>
          <w:rFonts w:hint="eastAsia" w:hAnsi="宋体" w:cs="宋体"/>
          <w:color w:val="auto"/>
          <w:szCs w:val="24"/>
          <w:highlight w:val="none"/>
        </w:rPr>
        <w:t>5.1.2投标人递交两份或多份内容不同的投标文件，或在一份投标文件中对同一招标项目有两个或多个报价，且未声明哪一个有效的，将作为</w:t>
      </w:r>
      <w:r>
        <w:rPr>
          <w:rFonts w:hint="eastAsia" w:hAnsi="宋体" w:cs="宋体"/>
          <w:color w:val="auto"/>
          <w:szCs w:val="24"/>
          <w:highlight w:val="none"/>
          <w:lang w:val="en-US" w:eastAsia="zh-CN"/>
        </w:rPr>
        <w:t>否决投标</w:t>
      </w:r>
      <w:r>
        <w:rPr>
          <w:rFonts w:hint="eastAsia" w:hAnsi="宋体" w:cs="宋体"/>
          <w:color w:val="auto"/>
          <w:szCs w:val="24"/>
          <w:highlight w:val="none"/>
        </w:rPr>
        <w:t xml:space="preserve">处理。按招标文件规定提交备选投标方案的除外。 </w:t>
      </w:r>
    </w:p>
    <w:p w14:paraId="035DBD2C">
      <w:pPr>
        <w:spacing w:line="360" w:lineRule="auto"/>
        <w:ind w:firstLine="480" w:firstLineChars="200"/>
        <w:rPr>
          <w:rFonts w:hAnsi="宋体" w:cs="宋体"/>
          <w:color w:val="auto"/>
          <w:szCs w:val="24"/>
          <w:highlight w:val="none"/>
        </w:rPr>
      </w:pPr>
      <w:r>
        <w:rPr>
          <w:rFonts w:hint="eastAsia" w:hAnsi="宋体" w:cs="宋体"/>
          <w:color w:val="auto"/>
          <w:szCs w:val="24"/>
          <w:highlight w:val="none"/>
        </w:rPr>
        <w:t>5.1.3投标文件明显不符合招标文件规定的报价、工期、质量标准、技术规格、服务方案评审标准或其它实质性要求，将作为</w:t>
      </w:r>
      <w:r>
        <w:rPr>
          <w:rFonts w:hint="eastAsia" w:hAnsi="宋体" w:cs="宋体"/>
          <w:color w:val="auto"/>
          <w:szCs w:val="24"/>
          <w:highlight w:val="none"/>
          <w:lang w:val="en-US" w:eastAsia="zh-CN"/>
        </w:rPr>
        <w:t>否决投标</w:t>
      </w:r>
      <w:r>
        <w:rPr>
          <w:rFonts w:hint="eastAsia" w:hAnsi="宋体" w:cs="宋体"/>
          <w:color w:val="auto"/>
          <w:szCs w:val="24"/>
          <w:highlight w:val="none"/>
        </w:rPr>
        <w:t xml:space="preserve">处理。 </w:t>
      </w:r>
    </w:p>
    <w:p w14:paraId="39467F90">
      <w:pPr>
        <w:pStyle w:val="27"/>
        <w:spacing w:line="360" w:lineRule="auto"/>
        <w:ind w:firstLine="480" w:firstLineChars="200"/>
        <w:rPr>
          <w:rFonts w:ascii="宋体" w:hAnsi="宋体" w:cs="仿宋"/>
          <w:b/>
          <w:bCs/>
          <w:color w:val="auto"/>
          <w:kern w:val="0"/>
          <w:sz w:val="24"/>
          <w:szCs w:val="24"/>
          <w:highlight w:val="none"/>
        </w:rPr>
      </w:pPr>
      <w:r>
        <w:rPr>
          <w:rFonts w:hint="eastAsia" w:ascii="宋体" w:hAnsi="宋体" w:cs="宋体"/>
          <w:color w:val="auto"/>
          <w:kern w:val="0"/>
          <w:sz w:val="24"/>
          <w:szCs w:val="24"/>
          <w:highlight w:val="none"/>
        </w:rPr>
        <w:t>5.1.4投标文件中的其它重大偏差（包括缺项，漏项）</w:t>
      </w:r>
      <w:r>
        <w:rPr>
          <w:rFonts w:hint="eastAsia" w:ascii="宋体" w:hAnsi="宋体" w:cs="仿宋"/>
          <w:color w:val="auto"/>
          <w:kern w:val="0"/>
          <w:sz w:val="24"/>
          <w:szCs w:val="24"/>
          <w:highlight w:val="none"/>
        </w:rPr>
        <w:t>，</w:t>
      </w:r>
      <w:r>
        <w:rPr>
          <w:rFonts w:hint="eastAsia" w:ascii="宋体" w:hAnsi="宋体" w:cs="仿宋"/>
          <w:b/>
          <w:bCs/>
          <w:color w:val="auto"/>
          <w:kern w:val="0"/>
          <w:sz w:val="24"/>
          <w:szCs w:val="24"/>
          <w:highlight w:val="none"/>
        </w:rPr>
        <w:t>存在以下其它重大偏差之一者，将作为否决投标处理：</w:t>
      </w:r>
    </w:p>
    <w:p w14:paraId="1B8334D4">
      <w:pPr>
        <w:spacing w:line="360" w:lineRule="auto"/>
        <w:ind w:firstLine="480" w:firstLineChars="200"/>
        <w:jc w:val="left"/>
        <w:rPr>
          <w:rFonts w:hAnsi="宋体" w:cs="宋体"/>
          <w:color w:val="auto"/>
          <w:szCs w:val="24"/>
          <w:highlight w:val="none"/>
        </w:rPr>
      </w:pPr>
      <w:r>
        <w:rPr>
          <w:rFonts w:hint="eastAsia" w:hAnsi="宋体" w:cs="宋体"/>
          <w:color w:val="auto"/>
          <w:szCs w:val="24"/>
          <w:highlight w:val="none"/>
        </w:rPr>
        <w:t>①投标人拒不按照要求对投标文件进行澄清、说明、补正的，或评标委员根据招标文件的规定对投标文件的计算错误进行修正后，投标人不接受修正后的投标报价的。</w:t>
      </w:r>
    </w:p>
    <w:p w14:paraId="6180520C">
      <w:pPr>
        <w:spacing w:line="360" w:lineRule="auto"/>
        <w:ind w:firstLine="480" w:firstLineChars="200"/>
        <w:jc w:val="left"/>
        <w:rPr>
          <w:rFonts w:hAnsi="宋体" w:cs="宋体"/>
          <w:color w:val="auto"/>
          <w:szCs w:val="24"/>
          <w:highlight w:val="none"/>
        </w:rPr>
      </w:pPr>
      <w:r>
        <w:rPr>
          <w:rFonts w:hint="eastAsia" w:hAnsi="宋体" w:cs="宋体"/>
          <w:color w:val="auto"/>
          <w:szCs w:val="24"/>
          <w:highlight w:val="none"/>
        </w:rPr>
        <w:t>②法律、法规规定的其它情形。</w:t>
      </w:r>
    </w:p>
    <w:p w14:paraId="61CD599E">
      <w:pPr>
        <w:widowControl/>
        <w:spacing w:line="360" w:lineRule="auto"/>
        <w:ind w:firstLine="482" w:firstLineChars="200"/>
        <w:rPr>
          <w:rFonts w:hAnsi="宋体" w:cs="宋体"/>
          <w:b/>
          <w:color w:val="auto"/>
          <w:kern w:val="1"/>
          <w:highlight w:val="none"/>
        </w:rPr>
      </w:pPr>
      <w:r>
        <w:rPr>
          <w:rFonts w:hint="eastAsia" w:hAnsi="宋体" w:cs="宋体"/>
          <w:b/>
          <w:color w:val="auto"/>
          <w:kern w:val="1"/>
          <w:highlight w:val="none"/>
        </w:rPr>
        <w:t>5.2报价评审详细评审</w:t>
      </w:r>
    </w:p>
    <w:tbl>
      <w:tblPr>
        <w:tblStyle w:val="54"/>
        <w:tblpPr w:leftFromText="181" w:rightFromText="181" w:vertAnchor="text" w:horzAnchor="page" w:tblpXSpec="center" w:tblpY="1"/>
        <w:tblOverlap w:val="never"/>
        <w:tblW w:w="500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39"/>
        <w:gridCol w:w="7352"/>
        <w:gridCol w:w="1279"/>
      </w:tblGrid>
      <w:tr w14:paraId="754B1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jc w:val="center"/>
        </w:trPr>
        <w:tc>
          <w:tcPr>
            <w:tcW w:w="583" w:type="pct"/>
            <w:vAlign w:val="center"/>
          </w:tcPr>
          <w:p w14:paraId="3CFFB0CA">
            <w:pPr>
              <w:pStyle w:val="338"/>
              <w:spacing w:before="124" w:line="360" w:lineRule="exact"/>
              <w:ind w:right="33"/>
              <w:jc w:val="left"/>
              <w:rPr>
                <w:color w:val="auto"/>
                <w:sz w:val="24"/>
                <w:szCs w:val="24"/>
                <w:highlight w:val="none"/>
                <w:lang w:eastAsia="zh-CN"/>
              </w:rPr>
            </w:pPr>
            <w:r>
              <w:rPr>
                <w:rFonts w:hint="eastAsia"/>
                <w:color w:val="auto"/>
                <w:sz w:val="24"/>
                <w:szCs w:val="24"/>
                <w:highlight w:val="none"/>
                <w:lang w:eastAsia="zh-CN"/>
              </w:rPr>
              <w:t>报价得分</w:t>
            </w:r>
          </w:p>
          <w:p w14:paraId="1ED598A2">
            <w:pPr>
              <w:pStyle w:val="338"/>
              <w:spacing w:before="124" w:line="360" w:lineRule="exact"/>
              <w:ind w:right="33"/>
              <w:jc w:val="left"/>
              <w:rPr>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30</w:t>
            </w:r>
            <w:r>
              <w:rPr>
                <w:rFonts w:hint="eastAsia"/>
                <w:color w:val="auto"/>
                <w:sz w:val="24"/>
                <w:szCs w:val="24"/>
                <w:highlight w:val="none"/>
                <w:lang w:eastAsia="zh-CN"/>
              </w:rPr>
              <w:t>分）</w:t>
            </w:r>
          </w:p>
        </w:tc>
        <w:tc>
          <w:tcPr>
            <w:tcW w:w="3762" w:type="pct"/>
            <w:vAlign w:val="center"/>
          </w:tcPr>
          <w:p w14:paraId="56B1B7AB">
            <w:pPr>
              <w:ind w:left="0" w:leftChars="0" w:firstLine="482" w:firstLineChars="200"/>
              <w:rPr>
                <w:rFonts w:hint="eastAsia"/>
                <w:b/>
                <w:bCs/>
                <w:color w:val="auto"/>
                <w:sz w:val="24"/>
                <w:szCs w:val="24"/>
                <w:highlight w:val="none"/>
              </w:rPr>
            </w:pPr>
            <w:r>
              <w:rPr>
                <w:rFonts w:hint="eastAsia"/>
                <w:b/>
                <w:bCs/>
                <w:color w:val="auto"/>
                <w:sz w:val="24"/>
                <w:szCs w:val="24"/>
                <w:highlight w:val="none"/>
                <w:lang w:eastAsia="zh-CN"/>
              </w:rPr>
              <w:t>（</w:t>
            </w:r>
            <w:r>
              <w:rPr>
                <w:rFonts w:hint="eastAsia"/>
                <w:b/>
                <w:bCs/>
                <w:color w:val="auto"/>
                <w:sz w:val="24"/>
                <w:szCs w:val="24"/>
                <w:highlight w:val="none"/>
                <w:lang w:val="en-US" w:eastAsia="zh-CN"/>
              </w:rPr>
              <w:t>1</w:t>
            </w:r>
            <w:r>
              <w:rPr>
                <w:rFonts w:hint="eastAsia"/>
                <w:b/>
                <w:bCs/>
                <w:color w:val="auto"/>
                <w:sz w:val="24"/>
                <w:szCs w:val="24"/>
                <w:highlight w:val="none"/>
                <w:lang w:eastAsia="zh-CN"/>
              </w:rPr>
              <w:t>）</w:t>
            </w:r>
            <w:r>
              <w:rPr>
                <w:rFonts w:hint="eastAsia"/>
                <w:b/>
                <w:bCs/>
                <w:color w:val="auto"/>
                <w:sz w:val="24"/>
                <w:szCs w:val="24"/>
                <w:highlight w:val="none"/>
              </w:rPr>
              <w:t>计算投标报价算术平均值b</w:t>
            </w:r>
          </w:p>
          <w:p w14:paraId="5644239D">
            <w:pPr>
              <w:ind w:left="0" w:leftChars="0" w:firstLine="480" w:firstLineChars="200"/>
              <w:rPr>
                <w:rFonts w:hint="eastAsia"/>
                <w:color w:val="auto"/>
                <w:sz w:val="24"/>
                <w:szCs w:val="24"/>
                <w:highlight w:val="none"/>
              </w:rPr>
            </w:pPr>
            <w:r>
              <w:rPr>
                <w:rFonts w:hint="eastAsia"/>
                <w:color w:val="auto"/>
                <w:sz w:val="24"/>
                <w:szCs w:val="24"/>
                <w:highlight w:val="none"/>
                <w:lang w:val="en-US" w:eastAsia="zh-CN"/>
              </w:rPr>
              <w:t>①</w:t>
            </w:r>
            <w:r>
              <w:rPr>
                <w:rFonts w:hint="eastAsia"/>
                <w:color w:val="auto"/>
                <w:sz w:val="24"/>
                <w:szCs w:val="24"/>
                <w:highlight w:val="none"/>
              </w:rPr>
              <w:t xml:space="preserve">设通过前述各步骤评审的投标人数量为M,最高投标限价为A。 </w:t>
            </w:r>
          </w:p>
          <w:p w14:paraId="10D602A1">
            <w:pPr>
              <w:ind w:left="0" w:leftChars="0" w:firstLine="480" w:firstLineChars="200"/>
              <w:rPr>
                <w:rFonts w:hint="eastAsia"/>
                <w:color w:val="auto"/>
                <w:sz w:val="24"/>
                <w:szCs w:val="24"/>
                <w:highlight w:val="none"/>
              </w:rPr>
            </w:pPr>
            <w:r>
              <w:rPr>
                <w:rFonts w:hint="eastAsia"/>
                <w:color w:val="auto"/>
                <w:sz w:val="24"/>
                <w:szCs w:val="24"/>
                <w:highlight w:val="none"/>
                <w:lang w:val="en-US" w:eastAsia="zh-CN"/>
              </w:rPr>
              <w:t>②</w:t>
            </w:r>
            <w:r>
              <w:rPr>
                <w:rFonts w:hint="eastAsia"/>
                <w:color w:val="auto"/>
                <w:sz w:val="24"/>
                <w:szCs w:val="24"/>
                <w:highlight w:val="none"/>
              </w:rPr>
              <w:t>当投标单位家数M≤5时，则取所有投标报价的算术平均值为b值</w:t>
            </w:r>
          </w:p>
          <w:p w14:paraId="22755C05">
            <w:pPr>
              <w:ind w:left="0" w:leftChars="0" w:firstLine="480" w:firstLineChars="200"/>
              <w:rPr>
                <w:rFonts w:hint="eastAsia"/>
                <w:color w:val="auto"/>
                <w:sz w:val="24"/>
                <w:szCs w:val="24"/>
                <w:highlight w:val="none"/>
              </w:rPr>
            </w:pPr>
            <w:r>
              <w:rPr>
                <w:rFonts w:hint="eastAsia"/>
                <w:color w:val="auto"/>
                <w:sz w:val="24"/>
                <w:szCs w:val="24"/>
                <w:highlight w:val="none"/>
                <w:lang w:val="en-US" w:eastAsia="zh-CN"/>
              </w:rPr>
              <w:t>③</w:t>
            </w:r>
            <w:r>
              <w:rPr>
                <w:rFonts w:hint="eastAsia"/>
                <w:color w:val="auto"/>
                <w:sz w:val="24"/>
                <w:szCs w:val="24"/>
                <w:highlight w:val="none"/>
              </w:rPr>
              <w:t>当M＞</w:t>
            </w:r>
            <w:r>
              <w:rPr>
                <w:rFonts w:hint="eastAsia"/>
                <w:color w:val="auto"/>
                <w:sz w:val="24"/>
                <w:szCs w:val="24"/>
                <w:highlight w:val="none"/>
                <w:lang w:val="en-US" w:eastAsia="zh-CN"/>
              </w:rPr>
              <w:t>5</w:t>
            </w:r>
            <w:r>
              <w:rPr>
                <w:rFonts w:hint="eastAsia"/>
                <w:color w:val="auto"/>
                <w:sz w:val="24"/>
                <w:szCs w:val="24"/>
                <w:highlight w:val="none"/>
              </w:rPr>
              <w:t>时，按由高到低顺序去掉报价高的M×</w:t>
            </w:r>
            <w:r>
              <w:rPr>
                <w:rFonts w:hint="eastAsia"/>
                <w:color w:val="auto"/>
                <w:sz w:val="24"/>
                <w:szCs w:val="24"/>
                <w:highlight w:val="none"/>
                <w:lang w:val="en-US" w:eastAsia="zh-CN"/>
              </w:rPr>
              <w:t>1</w:t>
            </w:r>
            <w:r>
              <w:rPr>
                <w:rFonts w:hint="eastAsia"/>
                <w:color w:val="auto"/>
                <w:sz w:val="24"/>
                <w:szCs w:val="24"/>
                <w:highlight w:val="none"/>
              </w:rPr>
              <w:t>0%（四舍五入取整数）家和按由低到高顺序去除报价低的M×10%（四舍五入取整数）家后，在此范围内的所有投标报价取算术平均值为b值；</w:t>
            </w:r>
          </w:p>
          <w:p w14:paraId="7756F1FE">
            <w:pPr>
              <w:tabs>
                <w:tab w:val="left" w:pos="945"/>
              </w:tabs>
              <w:spacing w:line="240" w:lineRule="auto"/>
              <w:ind w:firstLine="482" w:firstLineChars="200"/>
              <w:rPr>
                <w:rFonts w:hint="eastAsia"/>
                <w:color w:val="auto"/>
                <w:sz w:val="24"/>
                <w:szCs w:val="24"/>
                <w:highlight w:val="none"/>
                <w:lang w:eastAsia="zh-CN"/>
              </w:rPr>
            </w:pPr>
            <w:r>
              <w:rPr>
                <w:rFonts w:hint="eastAsia"/>
                <w:b/>
                <w:bCs/>
                <w:color w:val="auto"/>
                <w:sz w:val="24"/>
                <w:szCs w:val="24"/>
                <w:highlight w:val="none"/>
                <w:lang w:eastAsia="zh-CN"/>
              </w:rPr>
              <w:t>（</w:t>
            </w:r>
            <w:r>
              <w:rPr>
                <w:rFonts w:hint="eastAsia"/>
                <w:b/>
                <w:bCs/>
                <w:color w:val="auto"/>
                <w:sz w:val="24"/>
                <w:szCs w:val="24"/>
                <w:highlight w:val="none"/>
                <w:lang w:val="en-US" w:eastAsia="zh-CN"/>
              </w:rPr>
              <w:t>2</w:t>
            </w:r>
            <w:r>
              <w:rPr>
                <w:rFonts w:hint="eastAsia"/>
                <w:b/>
                <w:bCs/>
                <w:color w:val="auto"/>
                <w:sz w:val="24"/>
                <w:szCs w:val="24"/>
                <w:highlight w:val="none"/>
                <w:lang w:eastAsia="zh-CN"/>
              </w:rPr>
              <w:t>）</w:t>
            </w:r>
            <w:r>
              <w:rPr>
                <w:rFonts w:hint="eastAsia"/>
                <w:b/>
                <w:bCs/>
                <w:color w:val="auto"/>
                <w:sz w:val="24"/>
                <w:szCs w:val="24"/>
                <w:highlight w:val="none"/>
              </w:rPr>
              <w:t>计算评标基准值B：</w:t>
            </w:r>
            <w:r>
              <w:rPr>
                <w:rFonts w:hint="eastAsia" w:ascii="宋体" w:hAnsi="Times New Roman" w:eastAsia="宋体" w:cs="Times New Roman"/>
                <w:color w:val="auto"/>
                <w:sz w:val="24"/>
                <w:szCs w:val="24"/>
                <w:highlight w:val="none"/>
              </w:rPr>
              <w:t>对第一次算术平均b值（含）和最高投标限价的</w:t>
            </w:r>
            <w:r>
              <w:rPr>
                <w:rFonts w:hint="eastAsia" w:ascii="宋体" w:hAnsi="Times New Roman" w:eastAsia="宋体" w:cs="Times New Roman"/>
                <w:color w:val="auto"/>
                <w:sz w:val="24"/>
                <w:szCs w:val="24"/>
                <w:highlight w:val="none"/>
                <w:lang w:val="en-US" w:eastAsia="zh-CN"/>
              </w:rPr>
              <w:t>85</w:t>
            </w:r>
            <w:r>
              <w:rPr>
                <w:rFonts w:hint="eastAsia" w:ascii="宋体" w:hAnsi="Times New Roman" w:eastAsia="宋体" w:cs="Times New Roman"/>
                <w:color w:val="auto"/>
                <w:sz w:val="24"/>
                <w:szCs w:val="24"/>
                <w:highlight w:val="none"/>
              </w:rPr>
              <w:t>%（含）之间的投标报价进行第二次平均，第二次平均值即为评标基准值B。（若第一次算术平均b值（含）和最高投标限价的8</w:t>
            </w:r>
            <w:r>
              <w:rPr>
                <w:rFonts w:hint="eastAsia" w:ascii="宋体" w:hAnsi="Times New Roman" w:eastAsia="宋体" w:cs="Times New Roman"/>
                <w:color w:val="auto"/>
                <w:sz w:val="24"/>
                <w:szCs w:val="24"/>
                <w:highlight w:val="none"/>
                <w:lang w:val="en-US" w:eastAsia="zh-CN"/>
              </w:rPr>
              <w:t>5</w:t>
            </w:r>
            <w:r>
              <w:rPr>
                <w:rFonts w:hint="eastAsia" w:ascii="宋体" w:hAnsi="Times New Roman" w:eastAsia="宋体" w:cs="Times New Roman"/>
                <w:color w:val="auto"/>
                <w:sz w:val="24"/>
                <w:szCs w:val="24"/>
                <w:highlight w:val="none"/>
              </w:rPr>
              <w:t>%（含）之间没有投标报价，则以最高投标限价的8</w:t>
            </w:r>
            <w:r>
              <w:rPr>
                <w:rFonts w:hint="eastAsia" w:ascii="宋体" w:hAnsi="Times New Roman" w:eastAsia="宋体" w:cs="Times New Roman"/>
                <w:color w:val="auto"/>
                <w:sz w:val="24"/>
                <w:szCs w:val="24"/>
                <w:highlight w:val="none"/>
                <w:lang w:val="en-US" w:eastAsia="zh-CN"/>
              </w:rPr>
              <w:t>5</w:t>
            </w:r>
            <w:r>
              <w:rPr>
                <w:rFonts w:hint="eastAsia" w:ascii="宋体" w:hAnsi="Times New Roman" w:eastAsia="宋体" w:cs="Times New Roman"/>
                <w:color w:val="auto"/>
                <w:sz w:val="24"/>
                <w:szCs w:val="24"/>
                <w:highlight w:val="none"/>
              </w:rPr>
              <w:t>%为评标基准值B。）</w:t>
            </w:r>
          </w:p>
          <w:p w14:paraId="7FE0071E">
            <w:pPr>
              <w:ind w:left="0" w:leftChars="0" w:firstLine="482" w:firstLineChars="200"/>
              <w:rPr>
                <w:rFonts w:hint="eastAsia"/>
                <w:color w:val="auto"/>
                <w:sz w:val="24"/>
                <w:szCs w:val="24"/>
                <w:highlight w:val="none"/>
                <w:lang w:eastAsia="zh-CN"/>
              </w:rPr>
            </w:pPr>
            <w:r>
              <w:rPr>
                <w:rFonts w:hint="eastAsia"/>
                <w:b/>
                <w:bCs/>
                <w:color w:val="auto"/>
                <w:sz w:val="24"/>
                <w:szCs w:val="24"/>
                <w:highlight w:val="none"/>
                <w:lang w:eastAsia="zh-CN"/>
              </w:rPr>
              <w:t>（</w:t>
            </w:r>
            <w:r>
              <w:rPr>
                <w:rFonts w:hint="eastAsia"/>
                <w:b/>
                <w:bCs/>
                <w:color w:val="auto"/>
                <w:sz w:val="24"/>
                <w:szCs w:val="24"/>
                <w:highlight w:val="none"/>
                <w:lang w:val="en-US" w:eastAsia="zh-CN"/>
              </w:rPr>
              <w:t>3</w:t>
            </w:r>
            <w:r>
              <w:rPr>
                <w:rFonts w:hint="eastAsia"/>
                <w:b/>
                <w:bCs/>
                <w:color w:val="auto"/>
                <w:sz w:val="24"/>
                <w:szCs w:val="24"/>
                <w:highlight w:val="none"/>
                <w:lang w:eastAsia="zh-CN"/>
              </w:rPr>
              <w:t>）</w:t>
            </w:r>
            <w:r>
              <w:rPr>
                <w:rFonts w:hint="eastAsia"/>
                <w:b/>
                <w:bCs/>
                <w:color w:val="auto"/>
                <w:sz w:val="24"/>
                <w:szCs w:val="24"/>
                <w:highlight w:val="none"/>
                <w:lang w:val="en-US" w:eastAsia="zh-CN"/>
              </w:rPr>
              <w:t>计算报价得分：</w:t>
            </w:r>
            <w:r>
              <w:rPr>
                <w:rFonts w:hint="eastAsia"/>
                <w:color w:val="auto"/>
                <w:sz w:val="24"/>
                <w:szCs w:val="24"/>
                <w:highlight w:val="none"/>
                <w:lang w:eastAsia="zh-CN"/>
              </w:rPr>
              <w:t>投标报价等于评标基准值得满分</w:t>
            </w:r>
            <w:r>
              <w:rPr>
                <w:rFonts w:hint="eastAsia"/>
                <w:color w:val="auto"/>
                <w:sz w:val="24"/>
                <w:szCs w:val="24"/>
                <w:highlight w:val="none"/>
                <w:lang w:val="en-US" w:eastAsia="zh-CN"/>
              </w:rPr>
              <w:t>30</w:t>
            </w:r>
            <w:r>
              <w:rPr>
                <w:rFonts w:hint="eastAsia"/>
                <w:color w:val="auto"/>
                <w:sz w:val="24"/>
                <w:szCs w:val="24"/>
                <w:highlight w:val="none"/>
                <w:lang w:eastAsia="zh-CN"/>
              </w:rPr>
              <w:t>分，较评标基准值每高1%扣</w:t>
            </w:r>
            <w:r>
              <w:rPr>
                <w:rFonts w:hint="eastAsia"/>
                <w:color w:val="auto"/>
                <w:sz w:val="24"/>
                <w:szCs w:val="24"/>
                <w:highlight w:val="none"/>
                <w:lang w:val="en-US" w:eastAsia="zh-CN"/>
              </w:rPr>
              <w:t>0.6</w:t>
            </w:r>
            <w:r>
              <w:rPr>
                <w:rFonts w:hint="eastAsia"/>
                <w:color w:val="auto"/>
                <w:sz w:val="24"/>
                <w:szCs w:val="24"/>
                <w:highlight w:val="none"/>
                <w:lang w:eastAsia="zh-CN"/>
              </w:rPr>
              <w:t>分，较评标基准值每低1%扣</w:t>
            </w:r>
            <w:r>
              <w:rPr>
                <w:rFonts w:hint="eastAsia"/>
                <w:color w:val="auto"/>
                <w:sz w:val="24"/>
                <w:szCs w:val="24"/>
                <w:highlight w:val="none"/>
                <w:lang w:val="en-US" w:eastAsia="zh-CN"/>
              </w:rPr>
              <w:t>0.3</w:t>
            </w:r>
            <w:r>
              <w:rPr>
                <w:rFonts w:hint="eastAsia"/>
                <w:color w:val="auto"/>
                <w:sz w:val="24"/>
                <w:szCs w:val="24"/>
                <w:highlight w:val="none"/>
                <w:lang w:eastAsia="zh-CN"/>
              </w:rPr>
              <w:t>分，计算结果保留</w:t>
            </w:r>
            <w:r>
              <w:rPr>
                <w:rFonts w:hint="eastAsia"/>
                <w:color w:val="auto"/>
                <w:sz w:val="24"/>
                <w:szCs w:val="24"/>
                <w:highlight w:val="none"/>
                <w:lang w:val="en-US" w:eastAsia="zh-CN"/>
              </w:rPr>
              <w:t>2</w:t>
            </w:r>
            <w:r>
              <w:rPr>
                <w:rFonts w:hint="eastAsia"/>
                <w:color w:val="auto"/>
                <w:sz w:val="24"/>
                <w:szCs w:val="24"/>
                <w:highlight w:val="none"/>
                <w:lang w:eastAsia="zh-CN"/>
              </w:rPr>
              <w:t>位小数，具体计算公式为：</w:t>
            </w:r>
            <w:r>
              <w:rPr>
                <w:rFonts w:hint="eastAsia"/>
                <w:color w:val="auto"/>
                <w:sz w:val="24"/>
                <w:szCs w:val="24"/>
                <w:highlight w:val="none"/>
                <w:lang w:val="en-US" w:eastAsia="zh-CN"/>
              </w:rPr>
              <w:t>30</w:t>
            </w:r>
            <w:r>
              <w:rPr>
                <w:rFonts w:hint="eastAsia"/>
                <w:color w:val="auto"/>
                <w:sz w:val="24"/>
                <w:szCs w:val="24"/>
                <w:highlight w:val="none"/>
                <w:lang w:eastAsia="zh-CN"/>
              </w:rPr>
              <w:t>-偏差率×（</w:t>
            </w:r>
            <w:r>
              <w:rPr>
                <w:rFonts w:hint="eastAsia"/>
                <w:color w:val="auto"/>
                <w:sz w:val="24"/>
                <w:szCs w:val="24"/>
                <w:highlight w:val="none"/>
                <w:lang w:val="en-US" w:eastAsia="zh-CN"/>
              </w:rPr>
              <w:t>0.6</w:t>
            </w:r>
            <w:r>
              <w:rPr>
                <w:rFonts w:hint="eastAsia"/>
                <w:color w:val="auto"/>
                <w:sz w:val="24"/>
                <w:szCs w:val="24"/>
                <w:highlight w:val="none"/>
                <w:lang w:eastAsia="zh-CN"/>
              </w:rPr>
              <w:t>或</w:t>
            </w:r>
            <w:r>
              <w:rPr>
                <w:rFonts w:hint="eastAsia"/>
                <w:color w:val="auto"/>
                <w:sz w:val="24"/>
                <w:szCs w:val="24"/>
                <w:highlight w:val="none"/>
                <w:lang w:val="en-US" w:eastAsia="zh-CN"/>
              </w:rPr>
              <w:t>0.3</w:t>
            </w:r>
            <w:r>
              <w:rPr>
                <w:rFonts w:hint="eastAsia"/>
                <w:color w:val="auto"/>
                <w:sz w:val="24"/>
                <w:szCs w:val="24"/>
                <w:highlight w:val="none"/>
                <w:lang w:eastAsia="zh-CN"/>
              </w:rPr>
              <w:t>）×100</w:t>
            </w:r>
          </w:p>
          <w:p w14:paraId="0B579EAA">
            <w:pPr>
              <w:ind w:left="0" w:leftChars="0" w:firstLine="480" w:firstLineChars="200"/>
              <w:rPr>
                <w:rFonts w:hint="eastAsia"/>
                <w:color w:val="auto"/>
                <w:sz w:val="24"/>
                <w:szCs w:val="24"/>
                <w:highlight w:val="none"/>
                <w:lang w:eastAsia="zh-CN"/>
              </w:rPr>
            </w:pPr>
            <w:r>
              <w:rPr>
                <w:rFonts w:hint="eastAsia"/>
                <w:color w:val="auto"/>
                <w:sz w:val="24"/>
                <w:szCs w:val="24"/>
                <w:highlight w:val="none"/>
                <w:lang w:eastAsia="zh-CN"/>
              </w:rPr>
              <w:t>注：偏差率=∣投标人报价-评标基准值∣/评标基准值×100%  （偏差率保留3位小数，小数点后第4位“四舍五入”，即为*.***%）</w:t>
            </w:r>
          </w:p>
          <w:p w14:paraId="401BEE72">
            <w:pPr>
              <w:pStyle w:val="338"/>
              <w:spacing w:before="124" w:line="360" w:lineRule="exact"/>
              <w:ind w:right="33"/>
              <w:jc w:val="left"/>
              <w:rPr>
                <w:color w:val="auto"/>
                <w:sz w:val="24"/>
                <w:szCs w:val="24"/>
                <w:highlight w:val="none"/>
                <w:lang w:eastAsia="zh-CN"/>
              </w:rPr>
            </w:pPr>
            <w:r>
              <w:rPr>
                <w:rFonts w:hint="eastAsia"/>
                <w:color w:val="auto"/>
                <w:sz w:val="24"/>
                <w:szCs w:val="24"/>
                <w:highlight w:val="none"/>
                <w:lang w:val="en-US" w:eastAsia="zh-CN"/>
              </w:rPr>
              <w:t>注：</w:t>
            </w:r>
            <w:r>
              <w:rPr>
                <w:rFonts w:hint="eastAsia"/>
                <w:color w:val="auto"/>
                <w:sz w:val="24"/>
                <w:szCs w:val="24"/>
                <w:highlight w:val="none"/>
                <w:lang w:eastAsia="zh-CN"/>
              </w:rPr>
              <w:t>投标人的投标报价保留两位小数，第三位四舍五入。</w:t>
            </w:r>
          </w:p>
        </w:tc>
        <w:tc>
          <w:tcPr>
            <w:tcW w:w="654" w:type="pct"/>
            <w:vAlign w:val="center"/>
          </w:tcPr>
          <w:p w14:paraId="29931894">
            <w:pPr>
              <w:pStyle w:val="338"/>
              <w:spacing w:before="124" w:line="360" w:lineRule="exact"/>
              <w:ind w:right="33"/>
              <w:jc w:val="left"/>
              <w:rPr>
                <w:color w:val="auto"/>
                <w:sz w:val="24"/>
                <w:szCs w:val="24"/>
                <w:highlight w:val="none"/>
                <w:lang w:eastAsia="zh-CN"/>
              </w:rPr>
            </w:pPr>
            <w:r>
              <w:rPr>
                <w:rFonts w:hint="eastAsia"/>
                <w:color w:val="auto"/>
                <w:sz w:val="24"/>
                <w:szCs w:val="24"/>
                <w:highlight w:val="none"/>
                <w:lang w:eastAsia="zh-CN"/>
              </w:rPr>
              <w:t>以投标函中填报的投标报价为准。</w:t>
            </w:r>
          </w:p>
        </w:tc>
      </w:tr>
    </w:tbl>
    <w:p w14:paraId="60E25FA7">
      <w:pPr>
        <w:pStyle w:val="338"/>
        <w:spacing w:before="124" w:line="360" w:lineRule="exact"/>
        <w:ind w:right="33"/>
        <w:jc w:val="left"/>
        <w:rPr>
          <w:rFonts w:hAnsi="宋体" w:cs="宋体"/>
          <w:b/>
          <w:color w:val="auto"/>
          <w:highlight w:val="none"/>
        </w:rPr>
      </w:pPr>
      <w:r>
        <w:rPr>
          <w:rFonts w:hint="eastAsia" w:hAnsi="宋体" w:cs="宋体"/>
          <w:b/>
          <w:color w:val="auto"/>
          <w:highlight w:val="none"/>
        </w:rPr>
        <w:t>6.投标人综合得分=技术标得分+商务标得分</w:t>
      </w:r>
    </w:p>
    <w:p w14:paraId="2EFD7116">
      <w:pPr>
        <w:spacing w:line="360" w:lineRule="auto"/>
        <w:ind w:firstLine="482" w:firstLineChars="200"/>
        <w:jc w:val="left"/>
        <w:outlineLvl w:val="3"/>
        <w:rPr>
          <w:rFonts w:hAnsi="宋体" w:cs="宋体"/>
          <w:b/>
          <w:color w:val="auto"/>
          <w:szCs w:val="24"/>
          <w:highlight w:val="none"/>
        </w:rPr>
      </w:pPr>
      <w:r>
        <w:rPr>
          <w:rFonts w:hint="eastAsia" w:hAnsi="宋体" w:cs="宋体"/>
          <w:b/>
          <w:color w:val="auto"/>
          <w:szCs w:val="24"/>
          <w:highlight w:val="none"/>
        </w:rPr>
        <w:t>7.企业信用评审</w:t>
      </w:r>
    </w:p>
    <w:p w14:paraId="6D04D596">
      <w:pPr>
        <w:tabs>
          <w:tab w:val="left" w:pos="945"/>
        </w:tabs>
        <w:snapToGrid w:val="0"/>
        <w:spacing w:line="360" w:lineRule="auto"/>
        <w:ind w:firstLine="480" w:firstLineChars="200"/>
        <w:rPr>
          <w:rFonts w:hAnsi="宋体" w:cs="宋体"/>
          <w:color w:val="auto"/>
          <w:highlight w:val="none"/>
        </w:rPr>
      </w:pPr>
      <w:r>
        <w:rPr>
          <w:rFonts w:hint="eastAsia" w:hAnsi="宋体" w:cs="宋体"/>
          <w:color w:val="auto"/>
          <w:highlight w:val="none"/>
        </w:rPr>
        <w:t>评标委员会现场查询投标人诚信承诺书。</w:t>
      </w:r>
    </w:p>
    <w:p w14:paraId="22558285">
      <w:pPr>
        <w:spacing w:line="360" w:lineRule="auto"/>
        <w:ind w:firstLine="482" w:firstLineChars="200"/>
        <w:jc w:val="left"/>
        <w:rPr>
          <w:rFonts w:hAnsi="宋体" w:cs="宋体"/>
          <w:b/>
          <w:color w:val="auto"/>
          <w:highlight w:val="none"/>
        </w:rPr>
      </w:pPr>
      <w:r>
        <w:rPr>
          <w:rFonts w:hint="eastAsia" w:hAnsi="宋体" w:cs="宋体"/>
          <w:b/>
          <w:color w:val="auto"/>
          <w:highlight w:val="none"/>
        </w:rPr>
        <w:t>7.1 行贿犯罪记录</w:t>
      </w:r>
    </w:p>
    <w:p w14:paraId="6CD0CE32">
      <w:pPr>
        <w:spacing w:line="360" w:lineRule="auto"/>
        <w:ind w:firstLine="480" w:firstLineChars="200"/>
        <w:jc w:val="left"/>
        <w:rPr>
          <w:rFonts w:hAnsi="宋体" w:cs="宋体"/>
          <w:strike/>
          <w:color w:val="auto"/>
          <w:highlight w:val="none"/>
        </w:rPr>
      </w:pPr>
      <w:r>
        <w:rPr>
          <w:rFonts w:hint="eastAsia" w:hAnsi="宋体" w:cs="宋体"/>
          <w:color w:val="auto"/>
          <w:highlight w:val="none"/>
        </w:rPr>
        <w:t>投标人自投标截止之日起前三年有行贿犯罪记录的，信用评审不合格。</w:t>
      </w:r>
    </w:p>
    <w:p w14:paraId="55DCE4DF">
      <w:pPr>
        <w:spacing w:line="360" w:lineRule="auto"/>
        <w:ind w:firstLine="482" w:firstLineChars="200"/>
        <w:jc w:val="left"/>
        <w:rPr>
          <w:rFonts w:hAnsi="宋体" w:cs="宋体"/>
          <w:color w:val="auto"/>
          <w:highlight w:val="none"/>
        </w:rPr>
      </w:pPr>
      <w:r>
        <w:rPr>
          <w:rFonts w:hint="eastAsia" w:hAnsi="宋体" w:cs="宋体"/>
          <w:b/>
          <w:bCs/>
          <w:color w:val="auto"/>
          <w:highlight w:val="none"/>
        </w:rPr>
        <w:t>7.2 限制投标的行政处罚、限制在本市承揽业务的行政处理</w:t>
      </w:r>
    </w:p>
    <w:p w14:paraId="48500994">
      <w:pPr>
        <w:spacing w:line="360" w:lineRule="auto"/>
        <w:ind w:firstLine="480" w:firstLineChars="200"/>
        <w:jc w:val="left"/>
        <w:rPr>
          <w:rFonts w:hAnsi="宋体" w:cs="宋体"/>
          <w:color w:val="auto"/>
          <w:highlight w:val="none"/>
        </w:rPr>
      </w:pPr>
      <w:r>
        <w:rPr>
          <w:rFonts w:hint="eastAsia" w:hAnsi="宋体" w:cs="宋体"/>
          <w:color w:val="auto"/>
          <w:highlight w:val="none"/>
        </w:rPr>
        <w:t>投标人或项目负责人“受到招投标行政监管部门（或政府行业监管部门）限制投标的行政处罚，受到政府行业监管部门限制在本市承揽业务的行政处理，至投标截止之日仍在处罚、处理期内的”，信用评审不合格。</w:t>
      </w:r>
    </w:p>
    <w:p w14:paraId="43C98DF9">
      <w:pPr>
        <w:spacing w:line="360" w:lineRule="auto"/>
        <w:ind w:firstLine="482" w:firstLineChars="200"/>
        <w:jc w:val="left"/>
        <w:rPr>
          <w:rFonts w:hAnsi="宋体" w:cs="宋体"/>
          <w:b/>
          <w:bCs/>
          <w:color w:val="auto"/>
          <w:highlight w:val="none"/>
        </w:rPr>
      </w:pPr>
      <w:r>
        <w:rPr>
          <w:rFonts w:hint="eastAsia" w:hAnsi="宋体" w:cs="宋体"/>
          <w:b/>
          <w:bCs/>
          <w:color w:val="auto"/>
          <w:highlight w:val="none"/>
        </w:rPr>
        <w:t>7.3 在招投标活动中存在弄虚作假或串通投标等行为</w:t>
      </w:r>
    </w:p>
    <w:p w14:paraId="52FECAC9">
      <w:pPr>
        <w:spacing w:line="360" w:lineRule="auto"/>
        <w:ind w:firstLine="480" w:firstLineChars="200"/>
        <w:jc w:val="left"/>
        <w:rPr>
          <w:rFonts w:hAnsi="宋体" w:cs="宋体"/>
          <w:color w:val="auto"/>
          <w:highlight w:val="none"/>
        </w:rPr>
      </w:pPr>
      <w:r>
        <w:rPr>
          <w:rFonts w:hint="eastAsia" w:hAnsi="宋体" w:cs="宋体"/>
          <w:color w:val="auto"/>
          <w:highlight w:val="none"/>
        </w:rPr>
        <w:t>投标人在招投标活动中因弄虚作假或串通投标等违法违规行为被处理，在“信用中国”网站仍处于公示期内的，其信用评审不合格。</w:t>
      </w:r>
    </w:p>
    <w:p w14:paraId="50766C05">
      <w:pPr>
        <w:spacing w:line="360" w:lineRule="auto"/>
        <w:ind w:firstLine="482" w:firstLineChars="200"/>
        <w:jc w:val="left"/>
        <w:rPr>
          <w:rFonts w:hAnsi="宋体" w:cs="宋体"/>
          <w:color w:val="auto"/>
          <w:highlight w:val="none"/>
        </w:rPr>
      </w:pPr>
      <w:r>
        <w:rPr>
          <w:rFonts w:hint="eastAsia" w:hAnsi="宋体" w:cs="宋体"/>
          <w:b/>
          <w:bCs/>
          <w:color w:val="auto"/>
          <w:highlight w:val="none"/>
        </w:rPr>
        <w:t>7.4 住建部门“黑名单”</w:t>
      </w:r>
      <w:r>
        <w:rPr>
          <w:rFonts w:hint="eastAsia" w:hAnsi="宋体" w:cs="宋体"/>
          <w:color w:val="auto"/>
          <w:highlight w:val="none"/>
        </w:rPr>
        <w:t xml:space="preserve"> </w:t>
      </w:r>
    </w:p>
    <w:p w14:paraId="7CC0AD76">
      <w:pPr>
        <w:spacing w:line="360" w:lineRule="auto"/>
        <w:ind w:firstLine="480" w:firstLineChars="200"/>
        <w:jc w:val="left"/>
        <w:rPr>
          <w:rFonts w:hAnsi="宋体" w:cs="宋体"/>
          <w:color w:val="auto"/>
          <w:highlight w:val="none"/>
        </w:rPr>
      </w:pPr>
      <w:r>
        <w:rPr>
          <w:rFonts w:hint="eastAsia" w:hAnsi="宋体" w:cs="宋体"/>
          <w:color w:val="auto"/>
          <w:highlight w:val="none"/>
        </w:rPr>
        <w:t>被市住建局网站“应用平台”栏目下的“铜陵市建筑施工企业和房地产开发企业信用系统”，被列入“黑名单”的信用评审不合格。</w:t>
      </w:r>
    </w:p>
    <w:p w14:paraId="0566858E">
      <w:pPr>
        <w:spacing w:line="360" w:lineRule="auto"/>
        <w:ind w:firstLine="482" w:firstLineChars="200"/>
        <w:jc w:val="left"/>
        <w:rPr>
          <w:rFonts w:hAnsi="宋体" w:cs="宋体"/>
          <w:b/>
          <w:color w:val="auto"/>
          <w:highlight w:val="none"/>
        </w:rPr>
      </w:pPr>
      <w:r>
        <w:rPr>
          <w:rFonts w:hint="eastAsia" w:hAnsi="宋体" w:cs="宋体"/>
          <w:b/>
          <w:bCs/>
          <w:color w:val="auto"/>
          <w:highlight w:val="none"/>
        </w:rPr>
        <w:t>7.5人</w:t>
      </w:r>
      <w:r>
        <w:rPr>
          <w:rFonts w:hint="eastAsia" w:hAnsi="宋体" w:cs="宋体"/>
          <w:b/>
          <w:color w:val="auto"/>
          <w:highlight w:val="none"/>
        </w:rPr>
        <w:t>力资源社会保障行政部门“失信名单”</w:t>
      </w:r>
    </w:p>
    <w:p w14:paraId="7D1FC5A9">
      <w:pPr>
        <w:spacing w:line="360" w:lineRule="auto"/>
        <w:ind w:firstLine="480" w:firstLineChars="200"/>
        <w:jc w:val="left"/>
        <w:rPr>
          <w:rFonts w:hAnsi="宋体" w:cs="宋体"/>
          <w:color w:val="auto"/>
          <w:highlight w:val="none"/>
        </w:rPr>
      </w:pPr>
      <w:r>
        <w:rPr>
          <w:rFonts w:hint="eastAsia" w:hAnsi="宋体" w:cs="宋体"/>
          <w:color w:val="auto"/>
          <w:highlight w:val="none"/>
        </w:rPr>
        <w:t>被人力资源社会保障行政部门列入信用铜陵“失信名单”信用评审不合格，此项以信用铜陵（http://xytl.tl.gov.cn/）“守信失信名单”栏目为准。</w:t>
      </w:r>
    </w:p>
    <w:p w14:paraId="7D55B448">
      <w:pPr>
        <w:spacing w:line="360" w:lineRule="auto"/>
        <w:ind w:firstLine="482" w:firstLineChars="200"/>
        <w:jc w:val="left"/>
        <w:rPr>
          <w:rFonts w:hAnsi="宋体" w:cs="宋体"/>
          <w:b/>
          <w:color w:val="auto"/>
          <w:highlight w:val="none"/>
        </w:rPr>
      </w:pPr>
      <w:r>
        <w:rPr>
          <w:rFonts w:hint="eastAsia" w:hAnsi="宋体" w:cs="宋体"/>
          <w:b/>
          <w:color w:val="auto"/>
          <w:highlight w:val="none"/>
        </w:rPr>
        <w:t>7.6联合体投标及其他情形的处理</w:t>
      </w:r>
    </w:p>
    <w:p w14:paraId="2279A601">
      <w:pPr>
        <w:spacing w:line="360" w:lineRule="auto"/>
        <w:ind w:firstLine="480" w:firstLineChars="200"/>
        <w:jc w:val="left"/>
        <w:rPr>
          <w:rFonts w:hAnsi="宋体"/>
          <w:color w:val="auto"/>
          <w:highlight w:val="none"/>
        </w:rPr>
      </w:pPr>
      <w:r>
        <w:rPr>
          <w:rFonts w:hint="eastAsia" w:hAnsi="宋体"/>
          <w:color w:val="auto"/>
          <w:highlight w:val="none"/>
        </w:rPr>
        <w:t>联合体成员单位存在行贿犯罪记录、限制投标的行政处罚、限制在本市承揽业务的行政处理、在招投标活动中存在弄虚作假或串通投标等行为、住建部门黑名单、人力资源社会保障行政部门“失信名单”的，视为联合体存在相关情形。</w:t>
      </w:r>
    </w:p>
    <w:p w14:paraId="0565FCFF">
      <w:pPr>
        <w:pStyle w:val="27"/>
        <w:spacing w:line="360" w:lineRule="auto"/>
        <w:rPr>
          <w:rFonts w:ascii="宋体" w:hAnsi="宋体" w:cs="宋体"/>
          <w:color w:val="auto"/>
          <w:kern w:val="0"/>
          <w:sz w:val="24"/>
          <w:szCs w:val="24"/>
          <w:highlight w:val="none"/>
        </w:rPr>
      </w:pPr>
      <w:r>
        <w:rPr>
          <w:rFonts w:hint="eastAsia" w:ascii="宋体" w:hAnsi="宋体" w:cs="宋体"/>
          <w:b/>
          <w:color w:val="auto"/>
          <w:kern w:val="0"/>
          <w:sz w:val="24"/>
          <w:szCs w:val="24"/>
          <w:highlight w:val="none"/>
        </w:rPr>
        <w:t>8.推荐中标候选人</w:t>
      </w:r>
    </w:p>
    <w:p w14:paraId="3C6EE822">
      <w:pPr>
        <w:spacing w:line="360" w:lineRule="auto"/>
        <w:ind w:firstLine="480" w:firstLineChars="200"/>
        <w:rPr>
          <w:rFonts w:hAnsi="宋体" w:cs="宋体"/>
          <w:color w:val="auto"/>
          <w:szCs w:val="24"/>
          <w:highlight w:val="none"/>
        </w:rPr>
      </w:pPr>
      <w:r>
        <w:rPr>
          <w:rFonts w:hint="eastAsia" w:hAnsi="宋体" w:cs="宋体"/>
          <w:color w:val="auto"/>
          <w:szCs w:val="24"/>
          <w:highlight w:val="none"/>
        </w:rPr>
        <w:t>评标委员会按照投标人综合得分由高到低的顺序，推荐</w:t>
      </w:r>
      <w:r>
        <w:rPr>
          <w:rFonts w:hint="eastAsia" w:hAnsi="宋体" w:cs="宋体"/>
          <w:color w:val="auto"/>
          <w:szCs w:val="24"/>
          <w:highlight w:val="none"/>
          <w:lang w:val="en-US" w:eastAsia="zh-CN"/>
        </w:rPr>
        <w:t>1名</w:t>
      </w:r>
      <w:r>
        <w:rPr>
          <w:rFonts w:hint="eastAsia" w:hAnsi="宋体" w:cs="宋体"/>
          <w:color w:val="auto"/>
          <w:szCs w:val="24"/>
          <w:highlight w:val="none"/>
        </w:rPr>
        <w:t>中标候选人。综合得分相等的，技术标得分高者优先；若技术标得分也相同时，</w:t>
      </w:r>
      <w:r>
        <w:rPr>
          <w:rFonts w:hint="eastAsia" w:hAnsi="宋体" w:cs="宋体"/>
          <w:color w:val="auto"/>
          <w:szCs w:val="24"/>
          <w:highlight w:val="none"/>
          <w:lang w:val="en-US" w:eastAsia="zh-CN"/>
        </w:rPr>
        <w:t>检测</w:t>
      </w:r>
      <w:r>
        <w:rPr>
          <w:rFonts w:hint="eastAsia" w:hAnsi="宋体" w:cs="宋体"/>
          <w:color w:val="auto"/>
          <w:szCs w:val="24"/>
          <w:highlight w:val="none"/>
        </w:rPr>
        <w:t>方案得分高者优先；若</w:t>
      </w:r>
      <w:r>
        <w:rPr>
          <w:rFonts w:hint="eastAsia" w:hAnsi="宋体" w:cs="宋体"/>
          <w:color w:val="auto"/>
          <w:szCs w:val="24"/>
          <w:highlight w:val="none"/>
          <w:lang w:val="en-US" w:eastAsia="zh-CN"/>
        </w:rPr>
        <w:t>检测</w:t>
      </w:r>
      <w:r>
        <w:rPr>
          <w:rFonts w:hint="eastAsia" w:hAnsi="宋体" w:cs="宋体"/>
          <w:color w:val="auto"/>
          <w:szCs w:val="24"/>
          <w:highlight w:val="none"/>
        </w:rPr>
        <w:t>方案得分也相同时，由评标委员会抽签确定排序。无法推荐招标文件规定数量的，以实际合格的投标人家数为准。</w:t>
      </w:r>
    </w:p>
    <w:p w14:paraId="02C9077A">
      <w:pPr>
        <w:spacing w:line="360" w:lineRule="auto"/>
        <w:ind w:firstLine="480" w:firstLineChars="200"/>
        <w:rPr>
          <w:rFonts w:hAnsi="宋体" w:cs="宋体"/>
          <w:color w:val="auto"/>
          <w:highlight w:val="none"/>
        </w:rPr>
      </w:pPr>
      <w:r>
        <w:rPr>
          <w:rFonts w:hint="eastAsia" w:hAnsi="宋体" w:cs="宋体"/>
          <w:color w:val="auto"/>
          <w:szCs w:val="24"/>
          <w:highlight w:val="none"/>
        </w:rPr>
        <w:t>当拟推荐的中标候选人报价存在可能影响合同履行的异常低价的，且投标文件中未附其不属于异常低价的证明材料或材料不足以证明时，评审委员会将要求投标人在30分钟内提供证明相关证明材料或补充证明材料。评审委员会对通过评审的异常低价中标候选人的合同履行能力及工程质量安全等风险应进行全面评估，并作为评标报告的附件；如中标候选人未提供或提供的材料不能证明其不属于异常低价的，评标委员会应否决其投标并将否决的理由写入评标报告，否决后，有其他合格的投标人可供选择的，应递补推荐</w:t>
      </w:r>
      <w:r>
        <w:rPr>
          <w:rFonts w:hint="eastAsia" w:hAnsi="宋体" w:cs="宋体"/>
          <w:color w:val="auto"/>
          <w:highlight w:val="none"/>
        </w:rPr>
        <w:t>。</w:t>
      </w:r>
    </w:p>
    <w:p w14:paraId="001278A4">
      <w:pPr>
        <w:spacing w:line="360" w:lineRule="auto"/>
        <w:ind w:firstLine="480" w:firstLineChars="200"/>
        <w:rPr>
          <w:rFonts w:hAnsi="宋体" w:cs="宋体"/>
          <w:color w:val="auto"/>
          <w:szCs w:val="24"/>
          <w:highlight w:val="none"/>
        </w:rPr>
      </w:pPr>
      <w:r>
        <w:rPr>
          <w:rFonts w:hint="eastAsia" w:hAnsi="宋体" w:cs="宋体"/>
          <w:color w:val="auto"/>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是中标候选人的，取消其中标资格。</w:t>
      </w:r>
    </w:p>
    <w:p w14:paraId="786979DD">
      <w:pPr>
        <w:pStyle w:val="27"/>
        <w:spacing w:line="360" w:lineRule="auto"/>
        <w:ind w:firstLine="482" w:firstLineChars="200"/>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9.定标</w:t>
      </w:r>
    </w:p>
    <w:p w14:paraId="148808C8">
      <w:pPr>
        <w:spacing w:line="360" w:lineRule="auto"/>
        <w:ind w:firstLine="480" w:firstLineChars="200"/>
        <w:jc w:val="left"/>
        <w:rPr>
          <w:rFonts w:hAnsi="宋体" w:cs="宋体"/>
          <w:bCs/>
          <w:color w:val="auto"/>
          <w:szCs w:val="24"/>
          <w:highlight w:val="none"/>
        </w:rPr>
      </w:pPr>
      <w:r>
        <w:rPr>
          <w:rFonts w:hint="eastAsia" w:hAnsi="宋体" w:cs="宋体"/>
          <w:bCs/>
          <w:color w:val="auto"/>
          <w:szCs w:val="24"/>
          <w:highlight w:val="none"/>
        </w:rPr>
        <w:t>国有资金占控股或者主导地位的依法必须进行招标的项目，招标人确定排名第一的中标候选人为中标人。出现异常情况的按照第二章“投标人须知”的7.4 定标条款执行。</w:t>
      </w:r>
    </w:p>
    <w:p w14:paraId="2ECED250">
      <w:pPr>
        <w:rPr>
          <w:rFonts w:hAnsi="宋体" w:cs="宋体"/>
          <w:b/>
          <w:bCs/>
          <w:color w:val="auto"/>
          <w:kern w:val="44"/>
          <w:sz w:val="32"/>
          <w:szCs w:val="44"/>
          <w:highlight w:val="none"/>
        </w:rPr>
      </w:pPr>
      <w:r>
        <w:rPr>
          <w:rFonts w:hint="eastAsia" w:hAnsi="宋体" w:cs="宋体"/>
          <w:b/>
          <w:bCs/>
          <w:color w:val="auto"/>
          <w:kern w:val="44"/>
          <w:sz w:val="32"/>
          <w:szCs w:val="44"/>
          <w:highlight w:val="none"/>
        </w:rPr>
        <w:br w:type="page"/>
      </w:r>
    </w:p>
    <w:p w14:paraId="79798858">
      <w:pPr>
        <w:numPr>
          <w:ilvl w:val="0"/>
          <w:numId w:val="4"/>
        </w:numPr>
        <w:spacing w:line="360" w:lineRule="auto"/>
        <w:jc w:val="center"/>
        <w:rPr>
          <w:rFonts w:hAnsi="宋体" w:cs="宋体"/>
          <w:b/>
          <w:bCs/>
          <w:color w:val="auto"/>
          <w:kern w:val="44"/>
          <w:sz w:val="32"/>
          <w:szCs w:val="44"/>
          <w:highlight w:val="none"/>
        </w:rPr>
      </w:pPr>
      <w:r>
        <w:rPr>
          <w:rFonts w:hint="eastAsia" w:hAnsi="宋体" w:cs="宋体"/>
          <w:b/>
          <w:bCs/>
          <w:color w:val="auto"/>
          <w:kern w:val="44"/>
          <w:sz w:val="32"/>
          <w:szCs w:val="44"/>
          <w:highlight w:val="none"/>
        </w:rPr>
        <w:t xml:space="preserve"> 合同条款及格式</w:t>
      </w:r>
    </w:p>
    <w:p w14:paraId="54642095">
      <w:pPr>
        <w:spacing w:line="360" w:lineRule="auto"/>
        <w:jc w:val="center"/>
        <w:outlineLvl w:val="0"/>
        <w:rPr>
          <w:rFonts w:hint="eastAsia" w:ascii="宋体" w:hAnsi="宋体" w:eastAsia="宋体" w:cs="Times New Roman"/>
          <w:b/>
          <w:color w:val="auto"/>
          <w:sz w:val="30"/>
          <w:szCs w:val="30"/>
          <w:highlight w:val="none"/>
        </w:rPr>
      </w:pPr>
      <w:r>
        <w:rPr>
          <w:rFonts w:hint="eastAsia" w:ascii="宋体" w:hAnsi="宋体" w:eastAsia="宋体" w:cs="Times New Roman"/>
          <w:b/>
          <w:color w:val="auto"/>
          <w:sz w:val="30"/>
          <w:szCs w:val="30"/>
          <w:highlight w:val="none"/>
        </w:rPr>
        <w:t>委托合同</w:t>
      </w:r>
    </w:p>
    <w:p w14:paraId="3BEDA209">
      <w:pPr>
        <w:spacing w:before="98" w:line="178" w:lineRule="auto"/>
        <w:rPr>
          <w:rFonts w:hAnsi="宋体" w:cs="宋体"/>
          <w:color w:val="auto"/>
          <w:spacing w:val="-1"/>
          <w:sz w:val="30"/>
          <w:szCs w:val="30"/>
          <w:highlight w:val="none"/>
        </w:rPr>
      </w:pPr>
    </w:p>
    <w:p w14:paraId="0BC58AD9">
      <w:pPr>
        <w:pStyle w:val="350"/>
        <w:ind w:firstLine="0" w:firstLineChars="0"/>
        <w:rPr>
          <w:rFonts w:ascii="宋体" w:hAnsi="宋体"/>
          <w:b/>
          <w:color w:val="auto"/>
          <w:sz w:val="24"/>
          <w:szCs w:val="24"/>
          <w:highlight w:val="none"/>
          <w:u w:val="single"/>
        </w:rPr>
      </w:pPr>
      <w:r>
        <w:rPr>
          <w:rFonts w:hint="eastAsia" w:ascii="宋体" w:hAnsi="宋体"/>
          <w:b/>
          <w:color w:val="auto"/>
          <w:sz w:val="24"/>
          <w:szCs w:val="24"/>
          <w:highlight w:val="none"/>
          <w:lang w:val="en-US" w:eastAsia="zh-CN"/>
        </w:rPr>
        <w:t>甲方</w:t>
      </w:r>
      <w:r>
        <w:rPr>
          <w:rFonts w:ascii="宋体" w:hAnsi="宋体"/>
          <w:b/>
          <w:color w:val="auto"/>
          <w:sz w:val="24"/>
          <w:szCs w:val="24"/>
          <w:highlight w:val="none"/>
        </w:rPr>
        <w:t>（全称）：</w:t>
      </w:r>
      <w:r>
        <w:rPr>
          <w:rFonts w:hint="eastAsia" w:ascii="宋体" w:hAnsi="宋体" w:cs="宋体"/>
          <w:b/>
          <w:color w:val="auto"/>
          <w:sz w:val="24"/>
          <w:szCs w:val="24"/>
          <w:highlight w:val="none"/>
          <w:u w:val="single"/>
          <w:lang w:eastAsia="zh-CN"/>
        </w:rPr>
        <w:t>铜陵金诚资产运营有限公司</w:t>
      </w:r>
      <w:r>
        <w:rPr>
          <w:rFonts w:hint="eastAsia" w:ascii="宋体" w:hAnsi="宋体" w:cs="宋体"/>
          <w:b/>
          <w:color w:val="auto"/>
          <w:sz w:val="24"/>
          <w:szCs w:val="24"/>
          <w:highlight w:val="none"/>
          <w:u w:val="single"/>
        </w:rPr>
        <w:t></w:t>
      </w:r>
    </w:p>
    <w:p w14:paraId="73DF2F5E">
      <w:pPr>
        <w:pStyle w:val="350"/>
        <w:ind w:firstLine="0" w:firstLineChars="0"/>
        <w:rPr>
          <w:rFonts w:ascii="宋体" w:hAnsi="宋体"/>
          <w:b/>
          <w:color w:val="auto"/>
          <w:sz w:val="24"/>
          <w:szCs w:val="24"/>
          <w:highlight w:val="none"/>
          <w:u w:val="single"/>
        </w:rPr>
      </w:pPr>
      <w:r>
        <w:rPr>
          <w:rFonts w:hint="eastAsia" w:ascii="宋体" w:hAnsi="宋体"/>
          <w:b/>
          <w:color w:val="auto"/>
          <w:sz w:val="24"/>
          <w:szCs w:val="24"/>
          <w:highlight w:val="none"/>
          <w:lang w:val="en-US" w:eastAsia="zh-CN"/>
        </w:rPr>
        <w:t>乙方</w:t>
      </w:r>
      <w:r>
        <w:rPr>
          <w:rFonts w:ascii="宋体" w:hAnsi="宋体"/>
          <w:b/>
          <w:color w:val="auto"/>
          <w:sz w:val="24"/>
          <w:szCs w:val="24"/>
          <w:highlight w:val="none"/>
        </w:rPr>
        <w:t>（全称）：</w:t>
      </w:r>
      <w:r>
        <w:rPr>
          <w:rFonts w:hint="eastAsia" w:ascii="宋体" w:hAnsi="宋体" w:cs="宋体"/>
          <w:b/>
          <w:color w:val="auto"/>
          <w:sz w:val="24"/>
          <w:szCs w:val="24"/>
          <w:highlight w:val="none"/>
          <w:u w:val="single"/>
        </w:rPr>
        <w:t>            </w:t>
      </w:r>
    </w:p>
    <w:p w14:paraId="5B47D62B">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p>
    <w:p w14:paraId="4CFCA47E">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根据《中华人民共和国民法典》等法律法规的规定，甲乙双方按照</w:t>
      </w:r>
      <w:r>
        <w:rPr>
          <w:rFonts w:hint="eastAsia"/>
          <w:color w:val="auto"/>
          <w:sz w:val="24"/>
          <w:szCs w:val="24"/>
          <w:highlight w:val="none"/>
          <w:lang w:eastAsia="zh-CN"/>
        </w:rPr>
        <w:t>（</w:t>
      </w:r>
      <w:r>
        <w:rPr>
          <w:rFonts w:hint="eastAsia"/>
          <w:color w:val="auto"/>
          <w:sz w:val="24"/>
          <w:szCs w:val="24"/>
          <w:highlight w:val="none"/>
          <w:lang w:val="en-US" w:eastAsia="zh-CN"/>
        </w:rPr>
        <w:t>项目名称</w:t>
      </w:r>
      <w:r>
        <w:rPr>
          <w:rFonts w:hint="eastAsia"/>
          <w:color w:val="auto"/>
          <w:sz w:val="24"/>
          <w:szCs w:val="24"/>
          <w:highlight w:val="none"/>
          <w:lang w:eastAsia="zh-CN"/>
        </w:rPr>
        <w:t>）</w:t>
      </w:r>
      <w:r>
        <w:rPr>
          <w:color w:val="auto"/>
          <w:sz w:val="24"/>
          <w:szCs w:val="24"/>
          <w:highlight w:val="none"/>
        </w:rPr>
        <w:t>的招标结果签订本合同。</w:t>
      </w:r>
    </w:p>
    <w:p w14:paraId="6BE6B486">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hint="eastAsia" w:eastAsia="宋体"/>
          <w:color w:val="auto"/>
          <w:sz w:val="24"/>
          <w:szCs w:val="24"/>
          <w:highlight w:val="none"/>
          <w:lang w:eastAsia="zh-CN"/>
        </w:rPr>
      </w:pPr>
      <w:r>
        <w:rPr>
          <w:b/>
          <w:bCs/>
          <w:color w:val="auto"/>
          <w:sz w:val="24"/>
          <w:szCs w:val="24"/>
          <w:highlight w:val="none"/>
        </w:rPr>
        <w:t>第一条合同标的</w:t>
      </w:r>
    </w:p>
    <w:p w14:paraId="3F8D840D">
      <w:pPr>
        <w:adjustRightInd w:val="0"/>
        <w:snapToGrid w:val="0"/>
        <w:spacing w:line="572" w:lineRule="exact"/>
        <w:ind w:firstLine="480" w:firstLineChars="200"/>
        <w:rPr>
          <w:rFonts w:hint="eastAsia" w:ascii="宋体" w:hAnsi="宋体" w:eastAsia="宋体" w:cs="宋体"/>
          <w:bCs/>
          <w:color w:val="auto"/>
          <w:szCs w:val="21"/>
          <w:highlight w:val="none"/>
          <w:lang w:val="en-US" w:eastAsia="zh-CN"/>
        </w:rPr>
      </w:pPr>
      <w:r>
        <w:rPr>
          <w:color w:val="auto"/>
          <w:sz w:val="24"/>
          <w:szCs w:val="24"/>
          <w:highlight w:val="none"/>
        </w:rPr>
        <w:t>乙方根据甲方需求提供下列服务：</w:t>
      </w:r>
      <w:r>
        <w:rPr>
          <w:rFonts w:hint="eastAsia" w:hAnsi="宋体" w:cs="宋体"/>
          <w:bCs/>
          <w:color w:val="auto"/>
          <w:szCs w:val="21"/>
          <w:highlight w:val="none"/>
        </w:rPr>
        <w:t>本项目为铜陵市郊区城镇污水处理设施提质增效工程污水管网CCTV检测项目</w:t>
      </w:r>
      <w:r>
        <w:rPr>
          <w:rFonts w:hint="eastAsia" w:hAnsi="宋体" w:cs="宋体"/>
          <w:bCs/>
          <w:color w:val="auto"/>
          <w:szCs w:val="21"/>
          <w:highlight w:val="none"/>
          <w:lang w:eastAsia="zh-CN"/>
        </w:rPr>
        <w:t>，</w:t>
      </w:r>
      <w:r>
        <w:rPr>
          <w:rFonts w:hint="eastAsia" w:hAnsi="宋体" w:cs="宋体"/>
          <w:bCs/>
          <w:color w:val="auto"/>
          <w:szCs w:val="21"/>
          <w:highlight w:val="none"/>
          <w:lang w:val="en-US" w:eastAsia="zh-CN"/>
        </w:rPr>
        <w:t>主要内容包括：</w:t>
      </w:r>
      <w:r>
        <w:rPr>
          <w:rFonts w:hint="eastAsia" w:hAnsi="宋体" w:cs="宋体"/>
          <w:bCs/>
          <w:color w:val="auto"/>
          <w:szCs w:val="21"/>
          <w:highlight w:val="none"/>
        </w:rPr>
        <w:t>1.已新建DN200污水管道及以上全长约31241m，待新建DN200管道及以上全长约16100m。主要工作内容包括对新建（含待建）管道及新建（含待建）检查井（含户线检查井、阀门井等排水附属设施）内部状况进行</w:t>
      </w:r>
      <w:r>
        <w:rPr>
          <w:rFonts w:hint="eastAsia" w:hAnsi="宋体" w:cs="宋体"/>
          <w:bCs/>
          <w:color w:val="auto"/>
          <w:szCs w:val="21"/>
          <w:highlight w:val="none"/>
          <w:lang w:val="en-US" w:eastAsia="zh-CN"/>
        </w:rPr>
        <w:t>清淤疏通及</w:t>
      </w:r>
      <w:r>
        <w:rPr>
          <w:rFonts w:hint="eastAsia" w:hAnsi="宋体" w:cs="宋体"/>
          <w:bCs/>
          <w:color w:val="auto"/>
          <w:szCs w:val="21"/>
          <w:highlight w:val="none"/>
        </w:rPr>
        <w:t>cctv检测并提供修复建议等内容，最终出具成果。成果报告包括但不限于项目评估报告，检查井内径、外径，内部检查状况、管道使用情况及问题情况以及详细的修复建议，并对成果准确度和方案合理性承担相应责任；注明相关管道及检查井</w:t>
      </w:r>
      <w:r>
        <w:rPr>
          <w:rFonts w:hint="eastAsia" w:hAnsi="宋体" w:cs="宋体"/>
          <w:bCs/>
          <w:color w:val="auto"/>
          <w:szCs w:val="21"/>
          <w:highlight w:val="none"/>
          <w:lang w:val="en-US" w:eastAsia="zh-CN"/>
        </w:rPr>
        <w:t>编号、</w:t>
      </w:r>
      <w:r>
        <w:rPr>
          <w:rFonts w:hint="eastAsia" w:hAnsi="宋体" w:cs="宋体"/>
          <w:bCs/>
          <w:color w:val="auto"/>
          <w:szCs w:val="21"/>
          <w:highlight w:val="none"/>
        </w:rPr>
        <w:t>坐标、内径、长度、</w:t>
      </w:r>
      <w:r>
        <w:rPr>
          <w:rFonts w:hint="eastAsia" w:hAnsi="宋体" w:cs="宋体"/>
          <w:bCs/>
          <w:color w:val="auto"/>
          <w:szCs w:val="21"/>
          <w:highlight w:val="none"/>
          <w:lang w:eastAsia="zh-CN"/>
        </w:rPr>
        <w:t>高程</w:t>
      </w:r>
      <w:r>
        <w:rPr>
          <w:rFonts w:hint="eastAsia" w:hAnsi="宋体" w:cs="宋体"/>
          <w:bCs/>
          <w:color w:val="auto"/>
          <w:szCs w:val="21"/>
          <w:highlight w:val="none"/>
        </w:rPr>
        <w:t>、埋深、管材、管径、流向等具体</w:t>
      </w:r>
      <w:r>
        <w:rPr>
          <w:rFonts w:hint="eastAsia" w:hAnsi="宋体" w:cs="宋体"/>
          <w:bCs/>
          <w:color w:val="auto"/>
          <w:szCs w:val="21"/>
          <w:highlight w:val="none"/>
          <w:lang w:eastAsia="zh-CN"/>
        </w:rPr>
        <w:t>管网测绘图；</w:t>
      </w:r>
      <w:r>
        <w:rPr>
          <w:rFonts w:hint="eastAsia" w:hAnsi="宋体" w:cs="宋体"/>
          <w:bCs/>
          <w:color w:val="auto"/>
          <w:szCs w:val="21"/>
          <w:highlight w:val="none"/>
        </w:rPr>
        <w:t>2.新建及待建的排水户建筑单体立管、</w:t>
      </w:r>
      <w:r>
        <w:rPr>
          <w:rFonts w:hint="eastAsia" w:hAnsi="宋体" w:cs="宋体"/>
          <w:bCs/>
          <w:color w:val="auto"/>
          <w:szCs w:val="21"/>
          <w:highlight w:val="none"/>
          <w:lang w:eastAsia="zh-CN"/>
        </w:rPr>
        <w:t>出户管等</w:t>
      </w:r>
      <w:r>
        <w:rPr>
          <w:rFonts w:hint="eastAsia" w:hAnsi="宋体" w:cs="宋体"/>
          <w:bCs/>
          <w:color w:val="auto"/>
          <w:szCs w:val="21"/>
          <w:highlight w:val="none"/>
        </w:rPr>
        <w:t>直径 DN200以下的管网</w:t>
      </w:r>
      <w:r>
        <w:rPr>
          <w:rFonts w:hint="eastAsia" w:hAnsi="宋体" w:cs="宋体"/>
          <w:bCs/>
          <w:color w:val="auto"/>
          <w:szCs w:val="21"/>
          <w:highlight w:val="none"/>
          <w:lang w:eastAsia="zh-CN"/>
        </w:rPr>
        <w:t>（约21000m具体以现场实际工程量为准）</w:t>
      </w:r>
      <w:r>
        <w:rPr>
          <w:rFonts w:hint="eastAsia" w:hAnsi="宋体" w:cs="宋体"/>
          <w:bCs/>
          <w:color w:val="auto"/>
          <w:szCs w:val="21"/>
          <w:highlight w:val="none"/>
        </w:rPr>
        <w:t>不计入cctv检测，但需测绘并提供</w:t>
      </w:r>
      <w:r>
        <w:rPr>
          <w:rFonts w:hint="eastAsia" w:hAnsi="宋体" w:cs="宋体"/>
          <w:bCs/>
          <w:color w:val="auto"/>
          <w:szCs w:val="21"/>
          <w:highlight w:val="none"/>
          <w:lang w:val="en-US" w:eastAsia="zh-CN"/>
        </w:rPr>
        <w:t>编号、</w:t>
      </w:r>
      <w:r>
        <w:rPr>
          <w:rFonts w:hint="eastAsia" w:hAnsi="宋体" w:cs="宋体"/>
          <w:bCs/>
          <w:color w:val="auto"/>
          <w:szCs w:val="21"/>
          <w:highlight w:val="none"/>
        </w:rPr>
        <w:t>管径、流向、</w:t>
      </w:r>
      <w:r>
        <w:rPr>
          <w:rFonts w:hint="eastAsia" w:hAnsi="宋体" w:cs="宋体"/>
          <w:bCs/>
          <w:color w:val="auto"/>
          <w:szCs w:val="21"/>
          <w:highlight w:val="none"/>
          <w:lang w:val="en-US" w:eastAsia="zh-CN"/>
        </w:rPr>
        <w:t>埋深、</w:t>
      </w:r>
      <w:r>
        <w:rPr>
          <w:rFonts w:hint="eastAsia" w:hAnsi="宋体" w:cs="宋体"/>
          <w:bCs/>
          <w:color w:val="auto"/>
          <w:szCs w:val="21"/>
          <w:highlight w:val="none"/>
          <w:lang w:eastAsia="zh-CN"/>
        </w:rPr>
        <w:t>高程</w:t>
      </w:r>
      <w:r>
        <w:rPr>
          <w:rFonts w:hint="eastAsia" w:hAnsi="宋体" w:cs="宋体"/>
          <w:bCs/>
          <w:color w:val="auto"/>
          <w:szCs w:val="21"/>
          <w:highlight w:val="none"/>
        </w:rPr>
        <w:t>、管材、长度等详细的</w:t>
      </w:r>
      <w:r>
        <w:rPr>
          <w:rFonts w:hint="eastAsia" w:hAnsi="宋体" w:cs="宋体"/>
          <w:bCs/>
          <w:color w:val="auto"/>
          <w:szCs w:val="21"/>
          <w:highlight w:val="none"/>
          <w:lang w:eastAsia="zh-CN"/>
        </w:rPr>
        <w:t>管网测绘图</w:t>
      </w:r>
      <w:r>
        <w:rPr>
          <w:rFonts w:hint="eastAsia" w:hAnsi="宋体" w:cs="宋体"/>
          <w:bCs/>
          <w:color w:val="auto"/>
          <w:szCs w:val="21"/>
          <w:highlight w:val="none"/>
        </w:rPr>
        <w:t>。</w:t>
      </w:r>
    </w:p>
    <w:p w14:paraId="5BD3DEF7">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hint="eastAsia" w:ascii="Calibri" w:hAnsi="Calibri" w:eastAsia="宋体" w:cs="Times New Roman"/>
          <w:b/>
          <w:bCs/>
          <w:color w:val="auto"/>
          <w:sz w:val="24"/>
          <w:szCs w:val="24"/>
          <w:highlight w:val="none"/>
          <w:lang w:val="en-US" w:eastAsia="zh-CN"/>
        </w:rPr>
      </w:pPr>
      <w:r>
        <w:rPr>
          <w:rFonts w:ascii="Calibri" w:hAnsi="Calibri" w:eastAsia="宋体" w:cs="Times New Roman"/>
          <w:b/>
          <w:bCs/>
          <w:color w:val="auto"/>
          <w:sz w:val="24"/>
          <w:szCs w:val="24"/>
          <w:highlight w:val="none"/>
        </w:rPr>
        <w:t>第二条合同</w:t>
      </w:r>
      <w:r>
        <w:rPr>
          <w:rFonts w:hint="eastAsia" w:ascii="Calibri" w:hAnsi="Calibri" w:eastAsia="宋体" w:cs="Times New Roman"/>
          <w:b/>
          <w:bCs/>
          <w:color w:val="auto"/>
          <w:sz w:val="24"/>
          <w:szCs w:val="24"/>
          <w:highlight w:val="none"/>
          <w:lang w:val="en-US" w:eastAsia="zh-CN"/>
        </w:rPr>
        <w:t>价格</w:t>
      </w:r>
    </w:p>
    <w:p w14:paraId="16F67A56">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暂定总价为人民币（大写）(￥)。</w:t>
      </w:r>
    </w:p>
    <w:p w14:paraId="0F33DAB4">
      <w:pPr>
        <w:keepNext w:val="0"/>
        <w:keepLines w:val="0"/>
        <w:pageBreakBefore w:val="0"/>
        <w:widowControl/>
        <w:kinsoku/>
        <w:wordWrap/>
        <w:overflowPunct/>
        <w:topLinePunct w:val="0"/>
        <w:autoSpaceDE/>
        <w:autoSpaceDN/>
        <w:bidi w:val="0"/>
        <w:adjustRightInd/>
        <w:snapToGrid/>
        <w:spacing w:line="360" w:lineRule="auto"/>
        <w:ind w:firstLine="480" w:firstLineChars="200"/>
        <w:jc w:val="center"/>
        <w:rPr>
          <w:color w:val="auto"/>
          <w:sz w:val="24"/>
          <w:szCs w:val="24"/>
          <w:highlight w:val="none"/>
        </w:rPr>
      </w:pPr>
      <w:r>
        <w:rPr>
          <w:rFonts w:hint="eastAsia"/>
          <w:color w:val="auto"/>
          <w:sz w:val="24"/>
          <w:szCs w:val="24"/>
          <w:highlight w:val="none"/>
          <w:lang w:val="en-US" w:eastAsia="zh-CN"/>
        </w:rPr>
        <w:t>工程量清单报价表</w:t>
      </w:r>
      <w:r>
        <w:rPr>
          <w:color w:val="auto"/>
          <w:sz w:val="24"/>
          <w:szCs w:val="24"/>
          <w:highlight w:val="none"/>
        </w:rPr>
        <w:t>（中标人的投标价格）</w:t>
      </w:r>
    </w:p>
    <w:tbl>
      <w:tblPr>
        <w:tblStyle w:val="54"/>
        <w:tblW w:w="88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4"/>
        <w:gridCol w:w="1914"/>
        <w:gridCol w:w="2275"/>
        <w:gridCol w:w="2001"/>
        <w:gridCol w:w="1994"/>
      </w:tblGrid>
      <w:tr w14:paraId="3B91B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jc w:val="center"/>
        </w:trPr>
        <w:tc>
          <w:tcPr>
            <w:tcW w:w="674" w:type="dxa"/>
            <w:tcBorders>
              <w:top w:val="single" w:color="auto" w:sz="4" w:space="0"/>
              <w:left w:val="single" w:color="auto" w:sz="4" w:space="0"/>
              <w:bottom w:val="single" w:color="auto" w:sz="4" w:space="0"/>
              <w:right w:val="single" w:color="auto" w:sz="4" w:space="0"/>
            </w:tcBorders>
            <w:noWrap w:val="0"/>
            <w:vAlign w:val="center"/>
          </w:tcPr>
          <w:p w14:paraId="14E19982">
            <w:pPr>
              <w:keepNext w:val="0"/>
              <w:keepLines w:val="0"/>
              <w:widowControl/>
              <w:suppressLineNumbers w:val="0"/>
              <w:jc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2E4E2F61">
            <w:pPr>
              <w:keepNext w:val="0"/>
              <w:keepLines w:val="0"/>
              <w:widowControl/>
              <w:suppressLineNumbers w:val="0"/>
              <w:jc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项目内容</w:t>
            </w:r>
          </w:p>
        </w:tc>
        <w:tc>
          <w:tcPr>
            <w:tcW w:w="2275" w:type="dxa"/>
            <w:tcBorders>
              <w:top w:val="single" w:color="auto" w:sz="4" w:space="0"/>
              <w:left w:val="single" w:color="auto" w:sz="4" w:space="0"/>
              <w:bottom w:val="single" w:color="auto" w:sz="4" w:space="0"/>
              <w:right w:val="single" w:color="auto" w:sz="4" w:space="0"/>
            </w:tcBorders>
            <w:noWrap w:val="0"/>
            <w:vAlign w:val="center"/>
          </w:tcPr>
          <w:p w14:paraId="5E4F3F11">
            <w:pPr>
              <w:keepNext w:val="0"/>
              <w:keepLines w:val="0"/>
              <w:widowControl/>
              <w:suppressLineNumbers w:val="0"/>
              <w:jc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数量（m）</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4B183962">
            <w:pPr>
              <w:keepNext w:val="0"/>
              <w:keepLines w:val="0"/>
              <w:widowControl/>
              <w:suppressLineNumbers w:val="0"/>
              <w:jc w:val="center"/>
              <w:rPr>
                <w:rFonts w:hint="default"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i w:val="0"/>
                <w:iCs w:val="0"/>
                <w:color w:val="auto"/>
                <w:sz w:val="24"/>
                <w:szCs w:val="24"/>
                <w:highlight w:val="none"/>
                <w:u w:val="none"/>
                <w:lang w:val="en-US" w:eastAsia="zh-CN"/>
              </w:rPr>
              <w:t>全费用综合单价(元）</w:t>
            </w:r>
          </w:p>
        </w:tc>
        <w:tc>
          <w:tcPr>
            <w:tcW w:w="1994" w:type="dxa"/>
            <w:tcBorders>
              <w:top w:val="single" w:color="auto" w:sz="4" w:space="0"/>
              <w:left w:val="single" w:color="auto" w:sz="4" w:space="0"/>
              <w:bottom w:val="single" w:color="auto" w:sz="4" w:space="0"/>
              <w:right w:val="single" w:color="auto" w:sz="4" w:space="0"/>
            </w:tcBorders>
            <w:noWrap w:val="0"/>
            <w:vAlign w:val="center"/>
          </w:tcPr>
          <w:p w14:paraId="3EE441EE">
            <w:pPr>
              <w:keepNext w:val="0"/>
              <w:keepLines w:val="0"/>
              <w:widowControl/>
              <w:suppressLineNumbers w:val="0"/>
              <w:jc w:val="center"/>
              <w:rPr>
                <w:rFonts w:hint="default"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i w:val="0"/>
                <w:iCs w:val="0"/>
                <w:color w:val="auto"/>
                <w:kern w:val="0"/>
                <w:sz w:val="24"/>
                <w:szCs w:val="24"/>
                <w:highlight w:val="none"/>
                <w:u w:val="none"/>
                <w:lang w:val="en-US" w:eastAsia="zh-CN" w:bidi="ar"/>
              </w:rPr>
              <w:t>合计（元）</w:t>
            </w:r>
          </w:p>
        </w:tc>
      </w:tr>
      <w:tr w14:paraId="31542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674" w:type="dxa"/>
            <w:tcBorders>
              <w:top w:val="single" w:color="auto" w:sz="4" w:space="0"/>
              <w:left w:val="single" w:color="auto" w:sz="4" w:space="0"/>
              <w:bottom w:val="single" w:color="auto" w:sz="4" w:space="0"/>
              <w:right w:val="single" w:color="auto" w:sz="4" w:space="0"/>
            </w:tcBorders>
            <w:noWrap w:val="0"/>
            <w:vAlign w:val="center"/>
          </w:tcPr>
          <w:p w14:paraId="08B65C93">
            <w:pPr>
              <w:keepNext w:val="0"/>
              <w:keepLines w:val="0"/>
              <w:widowControl/>
              <w:suppressLineNumbers w:val="0"/>
              <w:jc w:val="center"/>
              <w:rPr>
                <w:rFonts w:hint="default"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1914" w:type="dxa"/>
            <w:tcBorders>
              <w:top w:val="single" w:color="auto" w:sz="4" w:space="0"/>
              <w:left w:val="single" w:color="auto" w:sz="4" w:space="0"/>
              <w:bottom w:val="single" w:color="auto" w:sz="4" w:space="0"/>
              <w:right w:val="single" w:color="auto" w:sz="4" w:space="0"/>
            </w:tcBorders>
            <w:noWrap w:val="0"/>
            <w:vAlign w:val="center"/>
          </w:tcPr>
          <w:p w14:paraId="6B4B590B">
            <w:pPr>
              <w:keepNext w:val="0"/>
              <w:keepLines w:val="0"/>
              <w:widowControl/>
              <w:suppressLineNumbers w:val="0"/>
              <w:jc w:val="center"/>
              <w:rPr>
                <w:rFonts w:hint="default" w:ascii="宋体" w:hAnsi="宋体" w:eastAsia="宋体" w:cs="宋体"/>
                <w:b w:val="0"/>
                <w:bCs w:val="0"/>
                <w:i w:val="0"/>
                <w:iCs w:val="0"/>
                <w:color w:val="auto"/>
                <w:kern w:val="0"/>
                <w:sz w:val="22"/>
                <w:szCs w:val="22"/>
                <w:highlight w:val="none"/>
                <w:u w:val="none"/>
                <w:lang w:val="en-US" w:eastAsia="zh-CN" w:bidi="ar"/>
              </w:rPr>
            </w:pPr>
            <w:r>
              <w:rPr>
                <w:rFonts w:hint="eastAsia" w:ascii="宋体" w:hAnsi="宋体" w:eastAsia="宋体" w:cs="宋体"/>
                <w:i w:val="0"/>
                <w:iCs w:val="0"/>
                <w:color w:val="auto"/>
                <w:sz w:val="22"/>
                <w:szCs w:val="22"/>
                <w:highlight w:val="none"/>
                <w:u w:val="none"/>
                <w:lang w:val="en-US" w:eastAsia="zh-CN"/>
              </w:rPr>
              <w:t>CCTV检测费</w:t>
            </w:r>
          </w:p>
        </w:tc>
        <w:tc>
          <w:tcPr>
            <w:tcW w:w="227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258EC1">
            <w:pPr>
              <w:keepNext w:val="0"/>
              <w:keepLines w:val="0"/>
              <w:widowControl/>
              <w:suppressLineNumbers w:val="0"/>
              <w:jc w:val="center"/>
              <w:rPr>
                <w:rFonts w:hint="default"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47341.00</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0850986B">
            <w:pPr>
              <w:keepNext w:val="0"/>
              <w:keepLines w:val="0"/>
              <w:widowControl/>
              <w:suppressLineNumbers w:val="0"/>
              <w:jc w:val="center"/>
              <w:rPr>
                <w:rFonts w:hint="default" w:ascii="宋体" w:hAnsi="宋体" w:eastAsia="宋体" w:cs="宋体"/>
                <w:b w:val="0"/>
                <w:bCs w:val="0"/>
                <w:i w:val="0"/>
                <w:iCs w:val="0"/>
                <w:color w:val="auto"/>
                <w:kern w:val="0"/>
                <w:sz w:val="22"/>
                <w:szCs w:val="22"/>
                <w:highlight w:val="none"/>
                <w:u w:val="none"/>
                <w:lang w:val="en-US" w:eastAsia="zh-CN" w:bidi="ar"/>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704A878E">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p>
        </w:tc>
      </w:tr>
    </w:tbl>
    <w:p w14:paraId="03484C83">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本合同总价款是完成本项目所发生的所有含税费用、支付给员工的工资和国家强制缴纳的各种社会保障资金，以及乙方认为需要的其他费用等。</w:t>
      </w:r>
    </w:p>
    <w:p w14:paraId="1CB4E413">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本合同采用固定综合单价合同，最终按实结算，综合单价不予调整。</w:t>
      </w:r>
    </w:p>
    <w:p w14:paraId="4637EB3F">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最终合同结算价格=检测项目</w:t>
      </w:r>
      <w:r>
        <w:rPr>
          <w:rFonts w:hint="eastAsia"/>
          <w:color w:val="auto"/>
          <w:sz w:val="24"/>
          <w:szCs w:val="24"/>
          <w:highlight w:val="none"/>
          <w:lang w:val="en-US" w:eastAsia="zh-CN"/>
        </w:rPr>
        <w:t>全费用</w:t>
      </w:r>
      <w:r>
        <w:rPr>
          <w:color w:val="auto"/>
          <w:sz w:val="24"/>
          <w:szCs w:val="24"/>
          <w:highlight w:val="none"/>
        </w:rPr>
        <w:t>综合单价×实际工程量。</w:t>
      </w:r>
    </w:p>
    <w:p w14:paraId="455A31C9">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第三条组成本合同的有关文件</w:t>
      </w:r>
    </w:p>
    <w:p w14:paraId="115EDFFC">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下列关于的招标文件、投标文件，或与本次招标活动方式相适应的文件，以及有关附件是本合同不可分割的组成部分，与本合同具有同等法律效力，这些文件包括但不限于：</w:t>
      </w:r>
    </w:p>
    <w:p w14:paraId="571E035B">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lang w:val="en-US" w:eastAsia="zh-CN"/>
        </w:rPr>
        <w:t>招标文件</w:t>
      </w:r>
      <w:r>
        <w:rPr>
          <w:color w:val="auto"/>
          <w:sz w:val="24"/>
          <w:szCs w:val="24"/>
          <w:highlight w:val="none"/>
        </w:rPr>
        <w:t>；</w:t>
      </w:r>
    </w:p>
    <w:p w14:paraId="551A15B2">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（2）投标人提供的投标文件和报价表；</w:t>
      </w:r>
    </w:p>
    <w:p w14:paraId="729622BE">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（3）承诺/服务承诺；</w:t>
      </w:r>
    </w:p>
    <w:p w14:paraId="6405F44B">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（4）中标通知书；</w:t>
      </w:r>
    </w:p>
    <w:p w14:paraId="237BDF1C">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（5）甲乙双方商定的其他文件</w:t>
      </w:r>
      <w:r>
        <w:rPr>
          <w:rFonts w:hint="eastAsia"/>
          <w:color w:val="auto"/>
          <w:sz w:val="24"/>
          <w:szCs w:val="24"/>
          <w:highlight w:val="none"/>
          <w:lang w:eastAsia="zh-CN"/>
        </w:rPr>
        <w:t>、</w:t>
      </w:r>
      <w:r>
        <w:rPr>
          <w:rFonts w:hint="eastAsia"/>
          <w:color w:val="auto"/>
          <w:sz w:val="24"/>
          <w:szCs w:val="24"/>
          <w:highlight w:val="none"/>
          <w:lang w:val="en-US" w:eastAsia="zh-CN"/>
        </w:rPr>
        <w:t>补充协议（如有）</w:t>
      </w:r>
      <w:r>
        <w:rPr>
          <w:color w:val="auto"/>
          <w:sz w:val="24"/>
          <w:szCs w:val="24"/>
          <w:highlight w:val="none"/>
        </w:rPr>
        <w:t>等。</w:t>
      </w:r>
    </w:p>
    <w:p w14:paraId="563F2EF1">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第四条权利保证</w:t>
      </w:r>
    </w:p>
    <w:p w14:paraId="3BCA7613">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乙方应保证甲方在使用该服务或其任何一部分时不受第三方提出侵犯其专利权、版权、商标权或其他权利的起诉。一旦出现侵权，乙方应承担全部责任。同时乙方应按合同总价款的5%支付违约金。</w:t>
      </w:r>
    </w:p>
    <w:p w14:paraId="7CC6C2A1">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第五条质量保证</w:t>
      </w:r>
    </w:p>
    <w:p w14:paraId="30CC4B30">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乙方所提供的服务的技术规格应与招标文件规定的技术规格相一致；若技术性能无特殊说明，则按国家有关部门最新颁布的标准及规范为准。</w:t>
      </w:r>
    </w:p>
    <w:p w14:paraId="6C0E29DE">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第六条交付和验收</w:t>
      </w:r>
    </w:p>
    <w:p w14:paraId="3297CC34">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1、中标人应当在</w:t>
      </w:r>
      <w:r>
        <w:rPr>
          <w:rFonts w:eastAsia="宋体" w:asciiTheme="minorHAnsi" w:hAnsiTheme="minorHAnsi" w:cstheme="minorBidi"/>
          <w:color w:val="auto"/>
          <w:sz w:val="24"/>
          <w:szCs w:val="24"/>
          <w:highlight w:val="none"/>
        </w:rPr>
        <w:t>40</w:t>
      </w:r>
      <w:r>
        <w:rPr>
          <w:rFonts w:hint="eastAsia" w:eastAsia="宋体" w:asciiTheme="minorHAnsi" w:hAnsiTheme="minorHAnsi" w:cstheme="minorBidi"/>
          <w:color w:val="auto"/>
          <w:sz w:val="24"/>
          <w:szCs w:val="24"/>
          <w:highlight w:val="none"/>
          <w:lang w:eastAsia="zh-CN"/>
        </w:rPr>
        <w:t>日历天</w:t>
      </w:r>
      <w:r>
        <w:rPr>
          <w:rFonts w:hint="eastAsia" w:eastAsia="宋体" w:asciiTheme="minorHAnsi" w:hAnsiTheme="minorHAnsi" w:cstheme="minorBidi"/>
          <w:color w:val="auto"/>
          <w:sz w:val="24"/>
          <w:szCs w:val="24"/>
          <w:highlight w:val="none"/>
          <w:lang w:val="en-US" w:eastAsia="zh-CN"/>
        </w:rPr>
        <w:t>内</w:t>
      </w:r>
      <w:r>
        <w:rPr>
          <w:rFonts w:eastAsia="宋体" w:asciiTheme="minorHAnsi" w:hAnsiTheme="minorHAnsi" w:cstheme="minorBidi"/>
          <w:color w:val="auto"/>
          <w:sz w:val="24"/>
          <w:szCs w:val="24"/>
          <w:highlight w:val="none"/>
        </w:rPr>
        <w:t>完成所有服务事项</w:t>
      </w:r>
      <w:r>
        <w:rPr>
          <w:rFonts w:hint="eastAsia" w:eastAsia="宋体" w:asciiTheme="minorHAnsi" w:hAnsiTheme="minorHAnsi" w:cstheme="minorBidi"/>
          <w:color w:val="auto"/>
          <w:sz w:val="24"/>
          <w:szCs w:val="24"/>
          <w:highlight w:val="none"/>
          <w:lang w:eastAsia="zh-CN"/>
        </w:rPr>
        <w:t>，即已新建管网与待新建管网分别接到招标人通知之日起40日历天内出具成果报告。</w:t>
      </w:r>
      <w:r>
        <w:rPr>
          <w:rFonts w:eastAsia="宋体" w:asciiTheme="minorHAnsi" w:hAnsiTheme="minorHAnsi" w:cstheme="minorBidi"/>
          <w:color w:val="auto"/>
          <w:sz w:val="24"/>
          <w:szCs w:val="24"/>
          <w:highlight w:val="none"/>
        </w:rPr>
        <w:t>实际进场时间以招标人通知为准。中标单位不得以招标人更改进场时间提</w:t>
      </w:r>
      <w:r>
        <w:rPr>
          <w:color w:val="auto"/>
          <w:sz w:val="24"/>
          <w:szCs w:val="24"/>
          <w:highlight w:val="none"/>
        </w:rPr>
        <w:t>出任何经济和工期的索赔要求。</w:t>
      </w:r>
    </w:p>
    <w:p w14:paraId="06366128">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w:t>
      </w:r>
      <w:r>
        <w:rPr>
          <w:rFonts w:hint="eastAsia"/>
          <w:color w:val="auto"/>
          <w:sz w:val="24"/>
          <w:szCs w:val="24"/>
          <w:highlight w:val="none"/>
          <w:lang w:eastAsia="zh-CN"/>
        </w:rPr>
        <w:t>、</w:t>
      </w:r>
      <w:r>
        <w:rPr>
          <w:color w:val="auto"/>
          <w:sz w:val="24"/>
          <w:szCs w:val="24"/>
          <w:highlight w:val="none"/>
        </w:rPr>
        <w:t>验收标准：</w:t>
      </w:r>
      <w:r>
        <w:rPr>
          <w:rFonts w:hint="eastAsia" w:ascii="宋体" w:hAnsi="宋体" w:eastAsia="宋体" w:cs="宋体"/>
          <w:color w:val="auto"/>
          <w:sz w:val="24"/>
          <w:szCs w:val="24"/>
          <w:highlight w:val="none"/>
        </w:rPr>
        <w:t>达到污水管道CCTV检测技术要求，影像资料及图片必须清楚；污水井根据图纸需编好号。视频资料屏幕上录像时须标注路段管段及井内详细管道</w:t>
      </w:r>
      <w:r>
        <w:rPr>
          <w:rFonts w:hint="eastAsia" w:hAnsi="宋体" w:cs="宋体"/>
          <w:color w:val="auto"/>
          <w:sz w:val="24"/>
          <w:szCs w:val="24"/>
          <w:highlight w:val="none"/>
          <w:lang w:eastAsia="zh-CN"/>
        </w:rPr>
        <w:t>高程</w:t>
      </w:r>
      <w:r>
        <w:rPr>
          <w:rFonts w:hint="eastAsia" w:ascii="宋体" w:hAnsi="宋体" w:eastAsia="宋体" w:cs="宋体"/>
          <w:color w:val="auto"/>
          <w:sz w:val="24"/>
          <w:szCs w:val="24"/>
          <w:highlight w:val="none"/>
        </w:rPr>
        <w:t>、井深、管径等数据资料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zh-CN" w:eastAsia="zh-CN"/>
        </w:rPr>
        <w:t>满足现行国家、地方法律法规及相关规范要求，对出具的报告书负有法律责任。</w:t>
      </w:r>
    </w:p>
    <w:p w14:paraId="0B637794">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第七条履约保证金</w:t>
      </w:r>
    </w:p>
    <w:p w14:paraId="449508A7">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1、乙方在签订本合同</w:t>
      </w:r>
      <w:r>
        <w:rPr>
          <w:rFonts w:hint="eastAsia"/>
          <w:color w:val="auto"/>
          <w:sz w:val="24"/>
          <w:szCs w:val="24"/>
          <w:highlight w:val="none"/>
          <w:lang w:val="en-US" w:eastAsia="zh-CN"/>
        </w:rPr>
        <w:t>前缴纳合同价款</w:t>
      </w:r>
      <w:r>
        <w:rPr>
          <w:rFonts w:hint="eastAsia" w:eastAsia="宋体" w:asciiTheme="minorHAnsi" w:hAnsiTheme="minorHAnsi" w:cstheme="minorBidi"/>
          <w:color w:val="auto"/>
          <w:sz w:val="24"/>
          <w:szCs w:val="24"/>
          <w:highlight w:val="none"/>
          <w:lang w:val="en-US" w:eastAsia="zh-CN"/>
        </w:rPr>
        <w:t>2%的履约保证金。乙方可采用银行转账、银行电汇、银行保函、担保机构担保、保证保险等形式缴纳。</w:t>
      </w:r>
    </w:p>
    <w:p w14:paraId="4A3D2615">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2、如乙方未能履行合同规定的义务，甲方有权从履约保证金中取得补偿。</w:t>
      </w:r>
    </w:p>
    <w:p w14:paraId="5C2DBDFE">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rFonts w:hint="eastAsia"/>
          <w:color w:val="auto"/>
          <w:sz w:val="24"/>
          <w:szCs w:val="24"/>
          <w:highlight w:val="none"/>
          <w:lang w:val="en-US" w:eastAsia="zh-CN"/>
        </w:rPr>
        <w:t>3</w:t>
      </w:r>
      <w:r>
        <w:rPr>
          <w:color w:val="auto"/>
          <w:sz w:val="24"/>
          <w:szCs w:val="24"/>
          <w:highlight w:val="none"/>
        </w:rPr>
        <w:t>、</w:t>
      </w:r>
      <w:r>
        <w:rPr>
          <w:rFonts w:hint="eastAsia"/>
          <w:color w:val="auto"/>
          <w:sz w:val="24"/>
          <w:szCs w:val="24"/>
          <w:highlight w:val="none"/>
        </w:rPr>
        <w:t>履约保证金退还时限：履约保证金有效期满</w:t>
      </w:r>
      <w:r>
        <w:rPr>
          <w:rFonts w:hint="eastAsia"/>
          <w:color w:val="auto"/>
          <w:sz w:val="24"/>
          <w:szCs w:val="24"/>
          <w:highlight w:val="none"/>
          <w:lang w:val="en-US" w:eastAsia="zh-CN"/>
        </w:rPr>
        <w:t>7</w:t>
      </w:r>
      <w:r>
        <w:rPr>
          <w:rFonts w:hint="eastAsia"/>
          <w:color w:val="auto"/>
          <w:sz w:val="24"/>
          <w:szCs w:val="24"/>
          <w:highlight w:val="none"/>
        </w:rPr>
        <w:t>日内（最迟不得超过项目</w:t>
      </w:r>
      <w:r>
        <w:rPr>
          <w:rFonts w:hint="eastAsia"/>
          <w:color w:val="auto"/>
          <w:sz w:val="24"/>
          <w:szCs w:val="24"/>
          <w:highlight w:val="none"/>
          <w:lang w:val="en-US" w:eastAsia="zh-CN"/>
        </w:rPr>
        <w:t>成果文件</w:t>
      </w:r>
      <w:r>
        <w:rPr>
          <w:rFonts w:hint="eastAsia"/>
          <w:color w:val="auto"/>
          <w:sz w:val="24"/>
          <w:szCs w:val="24"/>
          <w:highlight w:val="none"/>
        </w:rPr>
        <w:t>验收通过后28天）</w:t>
      </w:r>
      <w:r>
        <w:rPr>
          <w:rFonts w:hint="eastAsia"/>
          <w:color w:val="auto"/>
          <w:sz w:val="24"/>
          <w:szCs w:val="24"/>
          <w:highlight w:val="none"/>
          <w:lang w:val="en-US" w:eastAsia="zh-CN"/>
        </w:rPr>
        <w:t>，承包人无其他违约行为的，予以退还（以现金形式提交保证金的，应当同时退还保证金本金和银行同期存款利息）。</w:t>
      </w:r>
    </w:p>
    <w:p w14:paraId="57B87494">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第八条合同款支付</w:t>
      </w:r>
    </w:p>
    <w:p w14:paraId="2A3E3A7B">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1、本合同项下所有款项均以人民币支付。</w:t>
      </w:r>
    </w:p>
    <w:p w14:paraId="741D1488">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2、本合同项下的资金由甲方自行支付，乙方向甲方开具</w:t>
      </w:r>
      <w:r>
        <w:rPr>
          <w:rFonts w:hint="eastAsia"/>
          <w:color w:val="auto"/>
          <w:sz w:val="24"/>
          <w:szCs w:val="24"/>
          <w:highlight w:val="none"/>
          <w:lang w:val="en-US" w:eastAsia="zh-CN"/>
        </w:rPr>
        <w:t>增值税专用</w:t>
      </w:r>
      <w:r>
        <w:rPr>
          <w:color w:val="auto"/>
          <w:sz w:val="24"/>
          <w:szCs w:val="24"/>
          <w:highlight w:val="none"/>
        </w:rPr>
        <w:t>发票。</w:t>
      </w:r>
    </w:p>
    <w:p w14:paraId="17595757">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3、付款条件：</w:t>
      </w:r>
    </w:p>
    <w:p w14:paraId="1DF951DC">
      <w:pPr>
        <w:keepNext w:val="0"/>
        <w:keepLines w:val="0"/>
        <w:pageBreakBefore w:val="0"/>
        <w:widowControl/>
        <w:kinsoku/>
        <w:wordWrap/>
        <w:overflowPunct/>
        <w:topLinePunct w:val="0"/>
        <w:autoSpaceDE/>
        <w:autoSpaceDN/>
        <w:bidi w:val="0"/>
        <w:adjustRightInd/>
        <w:snapToGrid/>
        <w:spacing w:line="360" w:lineRule="auto"/>
        <w:ind w:firstLine="480" w:firstLineChars="200"/>
        <w:rPr>
          <w:rFonts w:hint="eastAsia" w:eastAsia="宋体" w:asciiTheme="minorHAnsi" w:hAnsiTheme="minorHAnsi" w:cstheme="minorBidi"/>
          <w:color w:val="auto"/>
          <w:sz w:val="24"/>
          <w:szCs w:val="24"/>
          <w:highlight w:val="none"/>
          <w:lang w:val="en-US" w:eastAsia="zh-CN"/>
        </w:rPr>
      </w:pPr>
      <w:r>
        <w:rPr>
          <w:color w:val="auto"/>
          <w:sz w:val="24"/>
          <w:szCs w:val="24"/>
          <w:highlight w:val="none"/>
        </w:rPr>
        <w:t>（1）</w:t>
      </w:r>
      <w:r>
        <w:rPr>
          <w:rFonts w:hint="eastAsia"/>
          <w:color w:val="auto"/>
          <w:sz w:val="24"/>
          <w:szCs w:val="24"/>
          <w:highlight w:val="none"/>
        </w:rPr>
        <w:t>每</w:t>
      </w:r>
      <w:r>
        <w:rPr>
          <w:rFonts w:hint="eastAsia" w:asciiTheme="minorHAnsi" w:hAnsiTheme="minorHAnsi" w:cstheme="minorBidi"/>
          <w:color w:val="auto"/>
          <w:sz w:val="24"/>
          <w:szCs w:val="24"/>
          <w:highlight w:val="none"/>
          <w:lang w:val="en-US" w:eastAsia="zh-CN"/>
        </w:rPr>
        <w:t>月</w:t>
      </w:r>
      <w:r>
        <w:rPr>
          <w:rFonts w:hint="eastAsia" w:eastAsia="宋体" w:asciiTheme="minorHAnsi" w:hAnsiTheme="minorHAnsi" w:cstheme="minorBidi"/>
          <w:color w:val="auto"/>
          <w:sz w:val="24"/>
          <w:szCs w:val="24"/>
          <w:highlight w:val="none"/>
          <w:lang w:val="en-US" w:eastAsia="zh-CN"/>
        </w:rPr>
        <w:t>按实际已完成的检测量（需提交评估报告及</w:t>
      </w:r>
      <w:r>
        <w:rPr>
          <w:rFonts w:hint="eastAsia" w:asciiTheme="minorHAnsi" w:hAnsiTheme="minorHAnsi" w:cstheme="minorBidi"/>
          <w:color w:val="auto"/>
          <w:sz w:val="24"/>
          <w:szCs w:val="24"/>
          <w:highlight w:val="none"/>
          <w:lang w:val="en-US" w:eastAsia="zh-CN"/>
        </w:rPr>
        <w:t>影像</w:t>
      </w:r>
      <w:r>
        <w:rPr>
          <w:rFonts w:hint="eastAsia" w:eastAsia="宋体" w:asciiTheme="minorHAnsi" w:hAnsiTheme="minorHAnsi" w:cstheme="minorBidi"/>
          <w:color w:val="auto"/>
          <w:sz w:val="24"/>
          <w:szCs w:val="24"/>
          <w:highlight w:val="none"/>
          <w:lang w:val="en-US" w:eastAsia="zh-CN"/>
        </w:rPr>
        <w:t>资料等）支付80%，</w:t>
      </w:r>
    </w:p>
    <w:p w14:paraId="2FA94964">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rFonts w:hint="eastAsia" w:eastAsia="宋体" w:asciiTheme="minorHAnsi" w:hAnsiTheme="minorHAnsi" w:cstheme="minorBidi"/>
          <w:color w:val="auto"/>
          <w:sz w:val="24"/>
          <w:szCs w:val="24"/>
          <w:highlight w:val="none"/>
          <w:lang w:val="en-US" w:eastAsia="zh-CN"/>
        </w:rPr>
        <w:t>（</w:t>
      </w:r>
      <w:r>
        <w:rPr>
          <w:rFonts w:hint="eastAsia" w:asciiTheme="minorHAnsi" w:hAnsiTheme="minorHAnsi" w:cstheme="minorBidi"/>
          <w:color w:val="auto"/>
          <w:sz w:val="24"/>
          <w:szCs w:val="24"/>
          <w:highlight w:val="none"/>
          <w:lang w:val="en-US" w:eastAsia="zh-CN"/>
        </w:rPr>
        <w:t>2</w:t>
      </w:r>
      <w:r>
        <w:rPr>
          <w:rFonts w:hint="eastAsia" w:eastAsia="宋体" w:asciiTheme="minorHAnsi" w:hAnsiTheme="minorHAnsi" w:cstheme="minorBidi"/>
          <w:color w:val="auto"/>
          <w:sz w:val="24"/>
          <w:szCs w:val="24"/>
          <w:highlight w:val="none"/>
          <w:lang w:val="en-US" w:eastAsia="zh-CN"/>
        </w:rPr>
        <w:t>）余款待全部检测量结束后并提交全部资料且</w:t>
      </w:r>
      <w:r>
        <w:rPr>
          <w:rFonts w:hint="eastAsia" w:asciiTheme="minorHAnsi" w:hAnsiTheme="minorHAnsi" w:cstheme="minorBidi"/>
          <w:color w:val="auto"/>
          <w:sz w:val="24"/>
          <w:szCs w:val="24"/>
          <w:highlight w:val="none"/>
          <w:lang w:val="en-US" w:eastAsia="zh-CN"/>
        </w:rPr>
        <w:t>经</w:t>
      </w:r>
      <w:r>
        <w:rPr>
          <w:rFonts w:hint="eastAsia" w:eastAsia="宋体" w:asciiTheme="minorHAnsi" w:hAnsiTheme="minorHAnsi" w:cstheme="minorBidi"/>
          <w:color w:val="auto"/>
          <w:sz w:val="24"/>
          <w:szCs w:val="24"/>
          <w:highlight w:val="none"/>
          <w:lang w:val="en-US" w:eastAsia="zh-CN"/>
        </w:rPr>
        <w:t>审计后一次性支付。</w:t>
      </w:r>
    </w:p>
    <w:p w14:paraId="10FC8120">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第九条违约责任</w:t>
      </w:r>
    </w:p>
    <w:p w14:paraId="10F7BF0C">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1、甲方无正当理由拒收服务、拒付服务款的，甲方向乙方偿付合同总价的5%违约金。</w:t>
      </w:r>
    </w:p>
    <w:p w14:paraId="2F5793C5">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2、甲方未按合同规定的期限向乙方支付</w:t>
      </w:r>
      <w:r>
        <w:rPr>
          <w:rFonts w:hint="eastAsia"/>
          <w:color w:val="auto"/>
          <w:sz w:val="24"/>
          <w:szCs w:val="24"/>
          <w:highlight w:val="none"/>
          <w:lang w:val="en-US" w:eastAsia="zh-CN"/>
        </w:rPr>
        <w:t>合同价款</w:t>
      </w:r>
      <w:r>
        <w:rPr>
          <w:color w:val="auto"/>
          <w:sz w:val="24"/>
          <w:szCs w:val="24"/>
          <w:highlight w:val="none"/>
        </w:rPr>
        <w:t>的，每逾期1天甲方向乙方偿付欠款总额的5‰</w:t>
      </w:r>
      <w:r>
        <w:rPr>
          <w:rFonts w:hint="eastAsia"/>
          <w:color w:val="auto"/>
          <w:sz w:val="24"/>
          <w:szCs w:val="24"/>
          <w:highlight w:val="none"/>
          <w:lang w:eastAsia="zh-CN"/>
        </w:rPr>
        <w:t>违约金</w:t>
      </w:r>
      <w:r>
        <w:rPr>
          <w:color w:val="auto"/>
          <w:sz w:val="24"/>
          <w:szCs w:val="24"/>
          <w:highlight w:val="none"/>
        </w:rPr>
        <w:t>，但累计</w:t>
      </w:r>
      <w:r>
        <w:rPr>
          <w:rFonts w:hint="eastAsia"/>
          <w:color w:val="auto"/>
          <w:sz w:val="24"/>
          <w:szCs w:val="24"/>
          <w:highlight w:val="none"/>
          <w:lang w:eastAsia="zh-CN"/>
        </w:rPr>
        <w:t>违约金</w:t>
      </w:r>
      <w:r>
        <w:rPr>
          <w:color w:val="auto"/>
          <w:sz w:val="24"/>
          <w:szCs w:val="24"/>
          <w:highlight w:val="none"/>
        </w:rPr>
        <w:t>总额不超过欠款总额的5%。</w:t>
      </w:r>
    </w:p>
    <w:p w14:paraId="30D066D3">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3、如乙方不能交付服务的，甲方有权解除合同，甲方有权扣留全部履约保证金；同时乙方应向甲方支付合同总价5%的违约金。</w:t>
      </w:r>
    </w:p>
    <w:p w14:paraId="0E199B6B">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4、乙方逾期交付的，每逾期1天，乙方向甲方偿付合同总额的5‰的</w:t>
      </w:r>
      <w:r>
        <w:rPr>
          <w:rFonts w:hint="eastAsia"/>
          <w:color w:val="auto"/>
          <w:sz w:val="24"/>
          <w:szCs w:val="24"/>
          <w:highlight w:val="none"/>
          <w:lang w:eastAsia="zh-CN"/>
        </w:rPr>
        <w:t>违约金</w:t>
      </w:r>
      <w:r>
        <w:rPr>
          <w:color w:val="auto"/>
          <w:sz w:val="24"/>
          <w:szCs w:val="24"/>
          <w:highlight w:val="none"/>
        </w:rPr>
        <w:t>。如乙方逾期交付达10天，每逾期1天，乙方向甲方偿付合同总额的5‰的</w:t>
      </w:r>
      <w:r>
        <w:rPr>
          <w:rFonts w:hint="eastAsia"/>
          <w:color w:val="auto"/>
          <w:sz w:val="24"/>
          <w:szCs w:val="24"/>
          <w:highlight w:val="none"/>
          <w:lang w:eastAsia="zh-CN"/>
        </w:rPr>
        <w:t>违约金，</w:t>
      </w:r>
      <w:r>
        <w:rPr>
          <w:color w:val="auto"/>
          <w:sz w:val="24"/>
          <w:szCs w:val="24"/>
          <w:highlight w:val="none"/>
        </w:rPr>
        <w:t>甲方有权扣留全部履约保证金</w:t>
      </w:r>
      <w:r>
        <w:rPr>
          <w:rFonts w:hint="eastAsia"/>
          <w:color w:val="auto"/>
          <w:sz w:val="24"/>
          <w:szCs w:val="24"/>
          <w:highlight w:val="none"/>
          <w:lang w:eastAsia="zh-CN"/>
        </w:rPr>
        <w:t>，</w:t>
      </w:r>
      <w:r>
        <w:rPr>
          <w:rFonts w:hint="eastAsia"/>
          <w:color w:val="auto"/>
          <w:sz w:val="24"/>
          <w:szCs w:val="24"/>
          <w:highlight w:val="none"/>
          <w:lang w:val="en-US" w:eastAsia="zh-CN"/>
        </w:rPr>
        <w:t>且</w:t>
      </w:r>
      <w:r>
        <w:rPr>
          <w:color w:val="auto"/>
          <w:sz w:val="24"/>
          <w:szCs w:val="24"/>
          <w:highlight w:val="none"/>
        </w:rPr>
        <w:t>甲方有权解除合同。</w:t>
      </w:r>
    </w:p>
    <w:p w14:paraId="1207E851">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5、乙方所交付的服务不符合合同规定的，甲方有权拒收</w:t>
      </w:r>
      <w:r>
        <w:rPr>
          <w:rFonts w:hint="eastAsia"/>
          <w:color w:val="auto"/>
          <w:sz w:val="24"/>
          <w:szCs w:val="24"/>
          <w:highlight w:val="none"/>
          <w:lang w:eastAsia="zh-CN"/>
        </w:rPr>
        <w:t>，</w:t>
      </w:r>
      <w:r>
        <w:rPr>
          <w:rFonts w:hint="eastAsia"/>
          <w:color w:val="auto"/>
          <w:sz w:val="24"/>
          <w:szCs w:val="24"/>
          <w:highlight w:val="none"/>
          <w:lang w:val="en-US" w:eastAsia="zh-CN"/>
        </w:rPr>
        <w:t>且</w:t>
      </w:r>
      <w:r>
        <w:rPr>
          <w:color w:val="auto"/>
          <w:sz w:val="24"/>
          <w:szCs w:val="24"/>
          <w:highlight w:val="none"/>
        </w:rPr>
        <w:t>甲方有权扣留全部履约保证金；同时乙方应向甲方支付合同总价5%的违约金。</w:t>
      </w:r>
    </w:p>
    <w:p w14:paraId="4907EF4F">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6、在乙方承诺的或国家规定的质量保证期内（取两者中最长的期限），如经乙方两次整改仍不能达到合同约定的质量标准，乙方应退回全部合同价款，并按第3款处理，同时，乙方还须赔偿甲方因此遭受的损失。</w:t>
      </w:r>
    </w:p>
    <w:p w14:paraId="79E41292">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7、乙方未按本合同的规定和“服务承诺”提供伴随服务/售后服务的，应按合同总价款的5%向甲方承担违约责任。</w:t>
      </w:r>
    </w:p>
    <w:p w14:paraId="482FD822">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8、乙方在承担上述3-7款一项或多项违约责任后，仍应继续履行合同规定的义务（甲方解除合同的除外）。甲方未能及时追究乙方的任何一项违约责任并不表明甲方放弃追究乙方该项或其他违约责任。</w:t>
      </w:r>
    </w:p>
    <w:p w14:paraId="2283748E">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9、乙方响应属虚假承诺，或经权威部门监测提供的服务不能满足招标文件文件要求，或是由于乙方的过错造成合同无法继续履行的，甲方有权解除合同。乙方履约保证金不予退还外，还应向甲方支付不少于合同总价30%赔偿金。</w:t>
      </w:r>
    </w:p>
    <w:p w14:paraId="50385069">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第十条合同的变更和终止</w:t>
      </w:r>
    </w:p>
    <w:p w14:paraId="7D92129D">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1、本合同一经签订，甲乙双方不得擅自变更、中止或终止合同。</w:t>
      </w:r>
    </w:p>
    <w:p w14:paraId="5CF50BCB">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2、除发生法律规定的不能预见、不能避免并不能克服的客观情况外，甲乙双方不得放弃或拒绝履行合同。乙方放弃或拒绝履行合同，保证金不予退还。</w:t>
      </w:r>
    </w:p>
    <w:p w14:paraId="737339D5">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第十一条合同的转让</w:t>
      </w:r>
    </w:p>
    <w:p w14:paraId="0AEE7F2E">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乙方不得擅自全部转让其应履行的合同义务。否则</w:t>
      </w:r>
      <w:r>
        <w:rPr>
          <w:rFonts w:hint="eastAsia"/>
          <w:color w:val="auto"/>
          <w:sz w:val="24"/>
          <w:szCs w:val="24"/>
          <w:highlight w:val="none"/>
          <w:lang w:val="en-US" w:eastAsia="zh-CN"/>
        </w:rPr>
        <w:t>履约</w:t>
      </w:r>
      <w:r>
        <w:rPr>
          <w:color w:val="auto"/>
          <w:sz w:val="24"/>
          <w:szCs w:val="24"/>
          <w:highlight w:val="none"/>
        </w:rPr>
        <w:t>保证金不予退还，</w:t>
      </w:r>
      <w:r>
        <w:rPr>
          <w:rFonts w:hint="eastAsia"/>
          <w:color w:val="auto"/>
          <w:sz w:val="24"/>
          <w:szCs w:val="24"/>
          <w:highlight w:val="none"/>
          <w:lang w:val="en-US" w:eastAsia="zh-CN"/>
        </w:rPr>
        <w:t>且</w:t>
      </w:r>
      <w:r>
        <w:rPr>
          <w:color w:val="auto"/>
          <w:sz w:val="24"/>
          <w:szCs w:val="24"/>
          <w:highlight w:val="none"/>
        </w:rPr>
        <w:t>乙方应按合同总价的5%支付违约金。</w:t>
      </w:r>
    </w:p>
    <w:p w14:paraId="1ECD2A3E">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第十二条争议的解决</w:t>
      </w:r>
    </w:p>
    <w:p w14:paraId="5C95D6D5">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1、因服务的质量问题发生争议的，应当邀请国家认可的质量检测机构对服务质量进行鉴定。符合标准的，鉴定费由甲方承担；不符合质量标准的，鉴定费由乙方承担。</w:t>
      </w:r>
    </w:p>
    <w:p w14:paraId="6C3FF600">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2、因履行本合同引起的或与本合同有关的争议，甲、乙双方应首先通过友好协商解决，如果协商不能解决争议，则采取以下第（1）种方式解决争议：</w:t>
      </w:r>
    </w:p>
    <w:p w14:paraId="03521A63">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（1）向甲方所在地有管辖权的人民法院提起诉讼；</w:t>
      </w:r>
    </w:p>
    <w:p w14:paraId="356F5555">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（2）向</w:t>
      </w:r>
      <w:r>
        <w:rPr>
          <w:rFonts w:hint="eastAsia"/>
          <w:color w:val="auto"/>
          <w:sz w:val="24"/>
          <w:szCs w:val="24"/>
          <w:highlight w:val="none"/>
          <w:lang w:val="en-US" w:eastAsia="zh-CN"/>
        </w:rPr>
        <w:t>铜陵</w:t>
      </w:r>
      <w:r>
        <w:rPr>
          <w:color w:val="auto"/>
          <w:sz w:val="24"/>
          <w:szCs w:val="24"/>
          <w:highlight w:val="none"/>
        </w:rPr>
        <w:t>仲裁委员会按其仲裁规则申请仲裁。</w:t>
      </w:r>
    </w:p>
    <w:p w14:paraId="4CD7635C">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3、在仲裁期间，本合同应继续履行。</w:t>
      </w:r>
    </w:p>
    <w:p w14:paraId="657D6C9E">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第十三条诚实信用</w:t>
      </w:r>
    </w:p>
    <w:p w14:paraId="4DAFBEF8">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乙方应诚实信用，严格按照招标文件文件要求和响应承诺履行合同，不向甲方进行商业贿赂或者提供不正当利益。</w:t>
      </w:r>
    </w:p>
    <w:p w14:paraId="2C8A8005">
      <w:pPr>
        <w:keepNext w:val="0"/>
        <w:keepLines w:val="0"/>
        <w:pageBreakBefore w:val="0"/>
        <w:widowControl/>
        <w:kinsoku/>
        <w:wordWrap/>
        <w:overflowPunct/>
        <w:topLinePunct w:val="0"/>
        <w:autoSpaceDE/>
        <w:autoSpaceDN/>
        <w:bidi w:val="0"/>
        <w:adjustRightInd/>
        <w:snapToGrid/>
        <w:spacing w:line="360" w:lineRule="auto"/>
        <w:ind w:firstLine="482" w:firstLineChars="200"/>
        <w:rPr>
          <w:rFonts w:ascii="Calibri" w:hAnsi="Calibri" w:eastAsia="宋体" w:cs="Times New Roman"/>
          <w:b/>
          <w:bCs/>
          <w:color w:val="auto"/>
          <w:sz w:val="24"/>
          <w:szCs w:val="24"/>
          <w:highlight w:val="none"/>
        </w:rPr>
      </w:pPr>
      <w:r>
        <w:rPr>
          <w:rFonts w:ascii="Calibri" w:hAnsi="Calibri" w:eastAsia="宋体" w:cs="Times New Roman"/>
          <w:b/>
          <w:bCs/>
          <w:color w:val="auto"/>
          <w:sz w:val="24"/>
          <w:szCs w:val="24"/>
          <w:highlight w:val="none"/>
        </w:rPr>
        <w:t>第十四条合同生效及其他</w:t>
      </w:r>
    </w:p>
    <w:p w14:paraId="35178132">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1、本合同自签订之日起生效。</w:t>
      </w:r>
    </w:p>
    <w:p w14:paraId="036EC65C">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2、本合同一式陆份，甲乙双方各执叁份。</w:t>
      </w:r>
    </w:p>
    <w:p w14:paraId="5FDB2C66">
      <w:pPr>
        <w:keepNext w:val="0"/>
        <w:keepLines w:val="0"/>
        <w:pageBreakBefore w:val="0"/>
        <w:widowControl/>
        <w:kinsoku/>
        <w:wordWrap/>
        <w:overflowPunct/>
        <w:topLinePunct w:val="0"/>
        <w:autoSpaceDE/>
        <w:autoSpaceDN/>
        <w:bidi w:val="0"/>
        <w:adjustRightInd/>
        <w:snapToGrid/>
        <w:spacing w:line="360" w:lineRule="auto"/>
        <w:ind w:firstLine="480" w:firstLineChars="200"/>
        <w:rPr>
          <w:color w:val="auto"/>
          <w:sz w:val="24"/>
          <w:szCs w:val="24"/>
          <w:highlight w:val="none"/>
        </w:rPr>
      </w:pPr>
      <w:r>
        <w:rPr>
          <w:color w:val="auto"/>
          <w:sz w:val="24"/>
          <w:szCs w:val="24"/>
          <w:highlight w:val="none"/>
        </w:rPr>
        <w:t>3、本合同应按照中华人民共和国的现行法律进行解释。</w:t>
      </w:r>
    </w:p>
    <w:p w14:paraId="5E93F2F0">
      <w:pPr>
        <w:spacing w:line="360" w:lineRule="auto"/>
        <w:rPr>
          <w:rFonts w:ascii="Arial"/>
          <w:color w:val="auto"/>
          <w:sz w:val="24"/>
          <w:szCs w:val="24"/>
          <w:highlight w:val="none"/>
        </w:rPr>
      </w:pPr>
    </w:p>
    <w:p w14:paraId="253EBA85">
      <w:pPr>
        <w:spacing w:line="360" w:lineRule="auto"/>
        <w:rPr>
          <w:rFonts w:ascii="Arial"/>
          <w:color w:val="auto"/>
          <w:sz w:val="24"/>
          <w:szCs w:val="24"/>
          <w:highlight w:val="none"/>
        </w:rPr>
      </w:pPr>
    </w:p>
    <w:p w14:paraId="2EC17ECB">
      <w:pPr>
        <w:pStyle w:val="19"/>
        <w:spacing w:before="69" w:line="360" w:lineRule="auto"/>
        <w:ind w:left="841"/>
        <w:rPr>
          <w:color w:val="auto"/>
          <w:sz w:val="24"/>
          <w:szCs w:val="24"/>
          <w:highlight w:val="none"/>
        </w:rPr>
      </w:pPr>
      <w:r>
        <w:rPr>
          <w:color w:val="auto"/>
          <w:spacing w:val="-3"/>
          <w:sz w:val="24"/>
          <w:szCs w:val="24"/>
          <w:highlight w:val="none"/>
        </w:rPr>
        <w:t>名称：（盖章）</w:t>
      </w:r>
      <w:r>
        <w:rPr>
          <w:rFonts w:hint="eastAsia"/>
          <w:color w:val="auto"/>
          <w:spacing w:val="-3"/>
          <w:sz w:val="24"/>
          <w:szCs w:val="24"/>
          <w:highlight w:val="none"/>
          <w:lang w:val="en-US" w:eastAsia="zh-CN"/>
        </w:rPr>
        <w:t xml:space="preserve">                         </w:t>
      </w:r>
      <w:r>
        <w:rPr>
          <w:color w:val="auto"/>
          <w:spacing w:val="-3"/>
          <w:sz w:val="24"/>
          <w:szCs w:val="24"/>
          <w:highlight w:val="none"/>
        </w:rPr>
        <w:t>名称：（盖章）</w:t>
      </w:r>
    </w:p>
    <w:p w14:paraId="5CEFFD1C">
      <w:pPr>
        <w:pStyle w:val="19"/>
        <w:spacing w:before="217" w:line="360" w:lineRule="auto"/>
        <w:ind w:left="847"/>
        <w:rPr>
          <w:color w:val="auto"/>
          <w:sz w:val="24"/>
          <w:szCs w:val="24"/>
          <w:highlight w:val="none"/>
        </w:rPr>
      </w:pPr>
      <w:r>
        <w:rPr>
          <w:color w:val="auto"/>
          <w:spacing w:val="-3"/>
          <w:sz w:val="24"/>
          <w:szCs w:val="24"/>
          <w:highlight w:val="none"/>
        </w:rPr>
        <w:t>法定代表人或委托人（签字</w:t>
      </w:r>
      <w:r>
        <w:rPr>
          <w:color w:val="auto"/>
          <w:spacing w:val="-2"/>
          <w:sz w:val="24"/>
          <w:szCs w:val="24"/>
          <w:highlight w:val="none"/>
        </w:rPr>
        <w:t>）：</w:t>
      </w:r>
      <w:r>
        <w:rPr>
          <w:rFonts w:hint="eastAsia"/>
          <w:color w:val="auto"/>
          <w:spacing w:val="-2"/>
          <w:sz w:val="24"/>
          <w:szCs w:val="24"/>
          <w:highlight w:val="none"/>
          <w:lang w:val="en-US" w:eastAsia="zh-CN"/>
        </w:rPr>
        <w:t xml:space="preserve">          </w:t>
      </w:r>
      <w:r>
        <w:rPr>
          <w:color w:val="auto"/>
          <w:spacing w:val="-3"/>
          <w:sz w:val="24"/>
          <w:szCs w:val="24"/>
          <w:highlight w:val="none"/>
        </w:rPr>
        <w:t>法定代表人或委</w:t>
      </w:r>
      <w:r>
        <w:rPr>
          <w:color w:val="auto"/>
          <w:spacing w:val="-4"/>
          <w:sz w:val="24"/>
          <w:szCs w:val="24"/>
          <w:highlight w:val="none"/>
        </w:rPr>
        <w:t>托人（签字</w:t>
      </w:r>
      <w:r>
        <w:rPr>
          <w:color w:val="auto"/>
          <w:spacing w:val="-2"/>
          <w:sz w:val="24"/>
          <w:szCs w:val="24"/>
          <w:highlight w:val="none"/>
        </w:rPr>
        <w:t>）：</w:t>
      </w:r>
    </w:p>
    <w:p w14:paraId="3AE2EF12">
      <w:pPr>
        <w:pStyle w:val="19"/>
        <w:spacing w:before="214" w:line="360" w:lineRule="auto"/>
        <w:ind w:left="841"/>
        <w:rPr>
          <w:color w:val="auto"/>
          <w:sz w:val="24"/>
          <w:szCs w:val="24"/>
          <w:highlight w:val="none"/>
        </w:rPr>
      </w:pPr>
      <w:r>
        <w:rPr>
          <w:color w:val="auto"/>
          <w:spacing w:val="-9"/>
          <w:sz w:val="24"/>
          <w:szCs w:val="24"/>
          <w:highlight w:val="none"/>
        </w:rPr>
        <w:t>地址：</w:t>
      </w:r>
      <w:r>
        <w:rPr>
          <w:rFonts w:hint="eastAsia"/>
          <w:color w:val="auto"/>
          <w:spacing w:val="-9"/>
          <w:sz w:val="24"/>
          <w:szCs w:val="24"/>
          <w:highlight w:val="none"/>
          <w:lang w:val="en-US" w:eastAsia="zh-CN"/>
        </w:rPr>
        <w:t xml:space="preserve">                                    </w:t>
      </w:r>
      <w:r>
        <w:rPr>
          <w:color w:val="auto"/>
          <w:spacing w:val="-9"/>
          <w:sz w:val="24"/>
          <w:szCs w:val="24"/>
          <w:highlight w:val="none"/>
        </w:rPr>
        <w:t>地址：</w:t>
      </w:r>
    </w:p>
    <w:p w14:paraId="54250FE1">
      <w:pPr>
        <w:pStyle w:val="19"/>
        <w:spacing w:before="217" w:line="360" w:lineRule="auto"/>
        <w:ind w:left="838"/>
        <w:rPr>
          <w:color w:val="auto"/>
          <w:sz w:val="24"/>
          <w:szCs w:val="24"/>
          <w:highlight w:val="none"/>
        </w:rPr>
      </w:pPr>
      <w:r>
        <w:rPr>
          <w:color w:val="auto"/>
          <w:spacing w:val="-3"/>
          <w:sz w:val="24"/>
          <w:szCs w:val="24"/>
          <w:highlight w:val="none"/>
        </w:rPr>
        <w:t>联系人：</w:t>
      </w:r>
      <w:r>
        <w:rPr>
          <w:rFonts w:hint="eastAsia"/>
          <w:color w:val="auto"/>
          <w:spacing w:val="-3"/>
          <w:sz w:val="24"/>
          <w:szCs w:val="24"/>
          <w:highlight w:val="none"/>
          <w:lang w:val="en-US" w:eastAsia="zh-CN"/>
        </w:rPr>
        <w:t xml:space="preserve">                              </w:t>
      </w:r>
      <w:r>
        <w:rPr>
          <w:color w:val="auto"/>
          <w:spacing w:val="-4"/>
          <w:sz w:val="24"/>
          <w:szCs w:val="24"/>
          <w:highlight w:val="none"/>
        </w:rPr>
        <w:t>联系人：</w:t>
      </w:r>
    </w:p>
    <w:p w14:paraId="4FBB619F">
      <w:pPr>
        <w:pStyle w:val="19"/>
        <w:spacing w:before="213" w:line="360" w:lineRule="auto"/>
        <w:ind w:left="863"/>
        <w:rPr>
          <w:color w:val="auto"/>
          <w:sz w:val="24"/>
          <w:szCs w:val="24"/>
          <w:highlight w:val="none"/>
        </w:rPr>
      </w:pPr>
      <w:r>
        <w:rPr>
          <w:color w:val="auto"/>
          <w:spacing w:val="-8"/>
          <w:sz w:val="24"/>
          <w:szCs w:val="24"/>
          <w:highlight w:val="none"/>
        </w:rPr>
        <w:t>电话：</w:t>
      </w:r>
      <w:r>
        <w:rPr>
          <w:rFonts w:hint="eastAsia"/>
          <w:color w:val="auto"/>
          <w:spacing w:val="-8"/>
          <w:sz w:val="24"/>
          <w:szCs w:val="24"/>
          <w:highlight w:val="none"/>
          <w:lang w:val="en-US" w:eastAsia="zh-CN"/>
        </w:rPr>
        <w:t xml:space="preserve">                                   </w:t>
      </w:r>
      <w:r>
        <w:rPr>
          <w:color w:val="auto"/>
          <w:spacing w:val="-9"/>
          <w:sz w:val="24"/>
          <w:szCs w:val="24"/>
          <w:highlight w:val="none"/>
        </w:rPr>
        <w:t>电话：</w:t>
      </w:r>
    </w:p>
    <w:p w14:paraId="6C06A988">
      <w:pPr>
        <w:pStyle w:val="19"/>
        <w:spacing w:before="214" w:line="360" w:lineRule="auto"/>
        <w:ind w:left="840"/>
        <w:rPr>
          <w:color w:val="auto"/>
          <w:sz w:val="24"/>
          <w:szCs w:val="24"/>
          <w:highlight w:val="none"/>
        </w:rPr>
      </w:pPr>
      <w:r>
        <w:rPr>
          <w:color w:val="auto"/>
          <w:spacing w:val="-3"/>
          <w:sz w:val="24"/>
          <w:szCs w:val="24"/>
          <w:highlight w:val="none"/>
        </w:rPr>
        <w:t>开户银行：</w:t>
      </w:r>
      <w:r>
        <w:rPr>
          <w:rFonts w:hint="eastAsia"/>
          <w:color w:val="auto"/>
          <w:spacing w:val="-3"/>
          <w:sz w:val="24"/>
          <w:szCs w:val="24"/>
          <w:highlight w:val="none"/>
          <w:lang w:val="en-US" w:eastAsia="zh-CN"/>
        </w:rPr>
        <w:t xml:space="preserve">                            </w:t>
      </w:r>
      <w:r>
        <w:rPr>
          <w:color w:val="auto"/>
          <w:spacing w:val="-4"/>
          <w:sz w:val="24"/>
          <w:szCs w:val="24"/>
          <w:highlight w:val="none"/>
        </w:rPr>
        <w:t>开户银行：</w:t>
      </w:r>
    </w:p>
    <w:p w14:paraId="7F82E25E">
      <w:pPr>
        <w:pStyle w:val="19"/>
        <w:spacing w:before="217" w:line="360" w:lineRule="auto"/>
        <w:ind w:left="841"/>
        <w:rPr>
          <w:color w:val="auto"/>
          <w:sz w:val="24"/>
          <w:szCs w:val="24"/>
          <w:highlight w:val="none"/>
        </w:rPr>
      </w:pPr>
      <w:r>
        <w:rPr>
          <w:color w:val="auto"/>
          <w:spacing w:val="-3"/>
          <w:sz w:val="24"/>
          <w:szCs w:val="24"/>
          <w:highlight w:val="none"/>
        </w:rPr>
        <w:t>银行帐号：</w:t>
      </w:r>
      <w:r>
        <w:rPr>
          <w:rFonts w:hint="eastAsia"/>
          <w:color w:val="auto"/>
          <w:spacing w:val="-3"/>
          <w:sz w:val="24"/>
          <w:szCs w:val="24"/>
          <w:highlight w:val="none"/>
          <w:lang w:val="en-US" w:eastAsia="zh-CN"/>
        </w:rPr>
        <w:t xml:space="preserve">                            </w:t>
      </w:r>
      <w:r>
        <w:rPr>
          <w:color w:val="auto"/>
          <w:spacing w:val="-4"/>
          <w:sz w:val="24"/>
          <w:szCs w:val="24"/>
          <w:highlight w:val="none"/>
        </w:rPr>
        <w:t>银行帐号：</w:t>
      </w:r>
    </w:p>
    <w:p w14:paraId="21283F84">
      <w:pPr>
        <w:pStyle w:val="72"/>
        <w:spacing w:line="360" w:lineRule="auto"/>
        <w:rPr>
          <w:rFonts w:hint="eastAsia" w:ascii="宋体" w:hAnsi="宋体" w:eastAsia="宋体" w:cs="宋体"/>
          <w:color w:val="auto"/>
          <w:sz w:val="24"/>
          <w:szCs w:val="18"/>
          <w:highlight w:val="none"/>
          <w:lang w:val="en-US" w:eastAsia="zh-CN" w:bidi="ar-SA"/>
        </w:rPr>
      </w:pPr>
      <w:r>
        <w:rPr>
          <w:rFonts w:hint="eastAsia" w:ascii="宋体" w:hAnsi="宋体" w:eastAsia="宋体" w:cs="宋体"/>
          <w:color w:val="auto"/>
          <w:sz w:val="24"/>
          <w:szCs w:val="18"/>
          <w:highlight w:val="none"/>
          <w:lang w:val="en-US" w:eastAsia="zh-CN" w:bidi="ar-SA"/>
        </w:rPr>
        <w:t>备注：最终约定以实际签订的合同有关条款为准。</w:t>
      </w:r>
    </w:p>
    <w:p w14:paraId="4CCA5E7F">
      <w:pPr>
        <w:rPr>
          <w:rFonts w:hint="eastAsia" w:hAnsi="宋体" w:cs="宋体"/>
          <w:b/>
          <w:bCs/>
          <w:color w:val="auto"/>
          <w:sz w:val="32"/>
          <w:szCs w:val="32"/>
          <w:highlight w:val="none"/>
          <w:lang w:bidi="ar"/>
        </w:rPr>
      </w:pPr>
      <w:r>
        <w:rPr>
          <w:rFonts w:hint="eastAsia" w:hAnsi="宋体" w:cs="宋体"/>
          <w:b/>
          <w:bCs/>
          <w:color w:val="auto"/>
          <w:sz w:val="32"/>
          <w:szCs w:val="32"/>
          <w:highlight w:val="none"/>
          <w:lang w:bidi="ar"/>
        </w:rPr>
        <w:br w:type="page"/>
      </w:r>
    </w:p>
    <w:p w14:paraId="6F49A6E9">
      <w:pPr>
        <w:widowControl/>
        <w:jc w:val="center"/>
        <w:rPr>
          <w:rFonts w:hAnsi="宋体" w:cs="宋体"/>
          <w:color w:val="auto"/>
          <w:highlight w:val="none"/>
        </w:rPr>
      </w:pPr>
      <w:r>
        <w:rPr>
          <w:rFonts w:hint="eastAsia" w:hAnsi="宋体" w:cs="宋体"/>
          <w:b/>
          <w:bCs/>
          <w:color w:val="auto"/>
          <w:sz w:val="32"/>
          <w:szCs w:val="32"/>
          <w:highlight w:val="none"/>
          <w:lang w:bidi="ar"/>
        </w:rPr>
        <w:t>第五章 投标文件格式</w:t>
      </w:r>
    </w:p>
    <w:p w14:paraId="7BEF7073">
      <w:pPr>
        <w:tabs>
          <w:tab w:val="left" w:pos="621"/>
        </w:tabs>
        <w:spacing w:line="360" w:lineRule="auto"/>
        <w:jc w:val="left"/>
        <w:rPr>
          <w:rFonts w:hAnsi="宋体" w:cs="宋体"/>
          <w:b/>
          <w:bCs/>
          <w:color w:val="auto"/>
          <w:kern w:val="44"/>
          <w:sz w:val="32"/>
          <w:szCs w:val="44"/>
          <w:highlight w:val="none"/>
        </w:rPr>
      </w:pPr>
      <w:r>
        <w:rPr>
          <w:rFonts w:hint="eastAsia" w:hAnsi="宋体" w:cs="宋体"/>
          <w:b/>
          <w:bCs/>
          <w:color w:val="auto"/>
          <w:kern w:val="44"/>
          <w:sz w:val="32"/>
          <w:szCs w:val="44"/>
          <w:highlight w:val="none"/>
        </w:rPr>
        <w:tab/>
      </w:r>
    </w:p>
    <w:p w14:paraId="06587C8D">
      <w:pPr>
        <w:spacing w:before="62" w:beforeLines="20" w:after="62" w:afterLines="20" w:line="360" w:lineRule="auto"/>
        <w:rPr>
          <w:rFonts w:ascii="宋体" w:hAnsi="宋体"/>
          <w:b/>
          <w:color w:val="auto"/>
          <w:sz w:val="24"/>
          <w:highlight w:val="none"/>
          <w:u w:val="single"/>
        </w:rPr>
      </w:pPr>
      <w:r>
        <w:rPr>
          <w:rFonts w:hint="eastAsia" w:ascii="宋体" w:hAnsi="宋体"/>
          <w:b/>
          <w:color w:val="auto"/>
          <w:szCs w:val="21"/>
          <w:highlight w:val="none"/>
        </w:rPr>
        <w:t xml:space="preserve">          </w:t>
      </w:r>
      <w:r>
        <w:rPr>
          <w:rFonts w:hint="eastAsia" w:ascii="宋体" w:hAnsi="宋体"/>
          <w:b/>
          <w:color w:val="auto"/>
          <w:sz w:val="24"/>
          <w:highlight w:val="none"/>
        </w:rPr>
        <w:t xml:space="preserve">   </w:t>
      </w:r>
      <w:r>
        <w:rPr>
          <w:rFonts w:hint="eastAsia" w:ascii="宋体" w:hAnsi="宋体"/>
          <w:b/>
          <w:color w:val="auto"/>
          <w:sz w:val="24"/>
          <w:highlight w:val="none"/>
          <w:u w:val="single"/>
        </w:rPr>
        <w:t xml:space="preserve">                            </w:t>
      </w:r>
      <w:r>
        <w:rPr>
          <w:rFonts w:hint="eastAsia" w:ascii="宋体" w:hAnsi="宋体"/>
          <w:b/>
          <w:color w:val="auto"/>
          <w:sz w:val="24"/>
          <w:highlight w:val="none"/>
        </w:rPr>
        <w:t>招标</w:t>
      </w:r>
    </w:p>
    <w:p w14:paraId="0FEAF8AF">
      <w:pPr>
        <w:pStyle w:val="20"/>
        <w:spacing w:before="62" w:beforeLines="20" w:after="62" w:afterLines="20" w:line="360" w:lineRule="auto"/>
        <w:ind w:left="0" w:leftChars="0"/>
        <w:rPr>
          <w:b/>
          <w:color w:val="auto"/>
          <w:sz w:val="24"/>
          <w:highlight w:val="none"/>
        </w:rPr>
      </w:pPr>
    </w:p>
    <w:p w14:paraId="3629E9E8">
      <w:pPr>
        <w:pStyle w:val="19"/>
        <w:spacing w:before="62" w:beforeLines="20" w:after="62" w:afterLines="20" w:line="360" w:lineRule="auto"/>
        <w:jc w:val="center"/>
        <w:rPr>
          <w:rFonts w:ascii="宋体" w:hAnsi="宋体"/>
          <w:b/>
          <w:color w:val="auto"/>
          <w:sz w:val="30"/>
          <w:szCs w:val="30"/>
          <w:highlight w:val="none"/>
        </w:rPr>
      </w:pPr>
    </w:p>
    <w:p w14:paraId="2AB11B8D">
      <w:pPr>
        <w:pStyle w:val="19"/>
        <w:spacing w:before="62" w:beforeLines="20" w:after="62" w:afterLines="20" w:line="360" w:lineRule="auto"/>
        <w:jc w:val="center"/>
        <w:rPr>
          <w:rFonts w:ascii="宋体" w:hAnsi="宋体"/>
          <w:b/>
          <w:color w:val="auto"/>
          <w:sz w:val="30"/>
          <w:szCs w:val="30"/>
          <w:highlight w:val="none"/>
        </w:rPr>
      </w:pPr>
      <w:r>
        <w:rPr>
          <w:rFonts w:hint="eastAsia" w:ascii="宋体" w:hAnsi="宋体"/>
          <w:b/>
          <w:color w:val="auto"/>
          <w:sz w:val="30"/>
          <w:szCs w:val="30"/>
          <w:highlight w:val="none"/>
        </w:rPr>
        <w:t>投  标  文  件</w:t>
      </w:r>
    </w:p>
    <w:p w14:paraId="7CBB20F7">
      <w:pPr>
        <w:pStyle w:val="19"/>
        <w:spacing w:before="62" w:beforeLines="20" w:after="62" w:afterLines="20" w:line="360" w:lineRule="auto"/>
        <w:jc w:val="center"/>
        <w:rPr>
          <w:rFonts w:ascii="宋体" w:hAnsi="宋体"/>
          <w:b/>
          <w:color w:val="auto"/>
          <w:sz w:val="24"/>
          <w:highlight w:val="none"/>
        </w:rPr>
      </w:pPr>
      <w:r>
        <w:rPr>
          <w:rFonts w:hint="eastAsia" w:ascii="宋体" w:hAnsi="宋体"/>
          <w:b/>
          <w:color w:val="auto"/>
          <w:sz w:val="24"/>
          <w:highlight w:val="none"/>
        </w:rPr>
        <w:t>招标编号：</w:t>
      </w:r>
    </w:p>
    <w:p w14:paraId="1F8B63C4">
      <w:pPr>
        <w:pStyle w:val="19"/>
        <w:spacing w:before="62" w:beforeLines="20" w:after="62" w:afterLines="20" w:line="360" w:lineRule="auto"/>
        <w:jc w:val="center"/>
        <w:rPr>
          <w:rFonts w:ascii="宋体" w:hAnsi="宋体"/>
          <w:color w:val="auto"/>
          <w:sz w:val="24"/>
          <w:highlight w:val="none"/>
        </w:rPr>
      </w:pPr>
    </w:p>
    <w:p w14:paraId="7552C764">
      <w:pPr>
        <w:pStyle w:val="19"/>
        <w:spacing w:before="62" w:beforeLines="20" w:after="62" w:afterLines="20" w:line="360" w:lineRule="auto"/>
        <w:rPr>
          <w:rFonts w:ascii="宋体" w:hAnsi="宋体"/>
          <w:color w:val="auto"/>
          <w:sz w:val="24"/>
          <w:highlight w:val="none"/>
        </w:rPr>
      </w:pPr>
    </w:p>
    <w:p w14:paraId="4441F59B">
      <w:pPr>
        <w:pStyle w:val="19"/>
        <w:spacing w:before="62" w:beforeLines="20" w:after="62" w:afterLines="20" w:line="360" w:lineRule="auto"/>
        <w:jc w:val="center"/>
        <w:rPr>
          <w:rFonts w:ascii="宋体" w:hAnsi="宋体"/>
          <w:color w:val="auto"/>
          <w:sz w:val="24"/>
          <w:highlight w:val="none"/>
        </w:rPr>
      </w:pPr>
    </w:p>
    <w:p w14:paraId="1CDA92A9">
      <w:pPr>
        <w:pStyle w:val="19"/>
        <w:spacing w:before="62" w:beforeLines="20" w:after="62" w:afterLines="20" w:line="360" w:lineRule="auto"/>
        <w:jc w:val="center"/>
        <w:rPr>
          <w:rFonts w:ascii="宋体" w:hAnsi="宋体"/>
          <w:color w:val="auto"/>
          <w:sz w:val="24"/>
          <w:highlight w:val="none"/>
        </w:rPr>
      </w:pPr>
    </w:p>
    <w:p w14:paraId="3FFFBE1F">
      <w:pPr>
        <w:pStyle w:val="19"/>
        <w:spacing w:before="62" w:beforeLines="20" w:after="62" w:afterLines="20" w:line="360" w:lineRule="auto"/>
        <w:jc w:val="center"/>
        <w:rPr>
          <w:rFonts w:ascii="宋体" w:hAnsi="宋体"/>
          <w:color w:val="auto"/>
          <w:sz w:val="24"/>
          <w:highlight w:val="none"/>
        </w:rPr>
      </w:pPr>
    </w:p>
    <w:p w14:paraId="3D093150">
      <w:pPr>
        <w:pStyle w:val="19"/>
        <w:spacing w:before="62" w:beforeLines="20" w:after="62" w:afterLines="20" w:line="360" w:lineRule="auto"/>
        <w:jc w:val="center"/>
        <w:rPr>
          <w:rFonts w:ascii="宋体" w:hAnsi="宋体"/>
          <w:color w:val="auto"/>
          <w:sz w:val="24"/>
          <w:highlight w:val="none"/>
        </w:rPr>
      </w:pPr>
    </w:p>
    <w:p w14:paraId="0AF61CCE">
      <w:pPr>
        <w:pStyle w:val="19"/>
        <w:spacing w:before="62" w:beforeLines="20" w:after="62" w:afterLines="20" w:line="360" w:lineRule="auto"/>
        <w:jc w:val="center"/>
        <w:rPr>
          <w:rFonts w:ascii="宋体" w:hAnsi="宋体"/>
          <w:color w:val="auto"/>
          <w:sz w:val="24"/>
          <w:highlight w:val="none"/>
        </w:rPr>
      </w:pPr>
    </w:p>
    <w:p w14:paraId="2ED3235F">
      <w:pPr>
        <w:pStyle w:val="21"/>
        <w:spacing w:before="62" w:beforeLines="20" w:after="62" w:afterLines="20" w:line="360" w:lineRule="auto"/>
        <w:ind w:left="149" w:leftChars="62" w:firstLine="1205" w:firstLineChars="500"/>
        <w:rPr>
          <w:rFonts w:ascii="宋体" w:hAnsi="宋体"/>
          <w:b/>
          <w:bCs/>
          <w:color w:val="auto"/>
          <w:sz w:val="24"/>
          <w:highlight w:val="none"/>
          <w:u w:val="single"/>
        </w:rPr>
      </w:pPr>
      <w:r>
        <w:rPr>
          <w:rFonts w:hint="eastAsia" w:ascii="宋体" w:hAnsi="宋体"/>
          <w:b/>
          <w:bCs/>
          <w:color w:val="auto"/>
          <w:sz w:val="24"/>
          <w:highlight w:val="none"/>
        </w:rPr>
        <w:t>项目名称：</w:t>
      </w:r>
      <w:r>
        <w:rPr>
          <w:rFonts w:hint="eastAsia" w:ascii="宋体" w:hAnsi="宋体"/>
          <w:b/>
          <w:bCs/>
          <w:color w:val="auto"/>
          <w:sz w:val="24"/>
          <w:highlight w:val="none"/>
          <w:u w:val="single"/>
        </w:rPr>
        <w:t xml:space="preserve">                                             </w:t>
      </w:r>
    </w:p>
    <w:p w14:paraId="59706049">
      <w:pPr>
        <w:pStyle w:val="21"/>
        <w:spacing w:before="62" w:beforeLines="20" w:after="62" w:afterLines="20" w:line="360" w:lineRule="auto"/>
        <w:ind w:left="166" w:leftChars="69" w:firstLine="1205" w:firstLineChars="500"/>
        <w:rPr>
          <w:rFonts w:ascii="宋体" w:hAnsi="宋体"/>
          <w:b/>
          <w:bCs/>
          <w:color w:val="auto"/>
          <w:sz w:val="24"/>
          <w:highlight w:val="none"/>
          <w:u w:val="single"/>
        </w:rPr>
      </w:pPr>
      <w:r>
        <w:rPr>
          <w:rFonts w:hint="eastAsia" w:ascii="宋体" w:hAnsi="宋体"/>
          <w:b/>
          <w:bCs/>
          <w:color w:val="auto"/>
          <w:sz w:val="24"/>
          <w:highlight w:val="none"/>
        </w:rPr>
        <w:t>投 标 人：</w:t>
      </w:r>
      <w:r>
        <w:rPr>
          <w:rFonts w:hint="eastAsia" w:ascii="宋体" w:hAnsi="宋体"/>
          <w:b/>
          <w:bCs/>
          <w:color w:val="auto"/>
          <w:sz w:val="24"/>
          <w:highlight w:val="none"/>
          <w:u w:val="single"/>
        </w:rPr>
        <w:t xml:space="preserve">                           （盖章） </w:t>
      </w:r>
    </w:p>
    <w:p w14:paraId="5CFE0DC6">
      <w:pPr>
        <w:spacing w:before="62" w:beforeLines="20" w:after="62" w:afterLines="20" w:line="360" w:lineRule="auto"/>
        <w:ind w:firstLine="1325" w:firstLineChars="550"/>
        <w:rPr>
          <w:rFonts w:ascii="宋体" w:hAnsi="宋体"/>
          <w:b/>
          <w:color w:val="auto"/>
          <w:sz w:val="24"/>
          <w:highlight w:val="none"/>
        </w:rPr>
      </w:pPr>
      <w:r>
        <w:rPr>
          <w:rFonts w:hint="eastAsia" w:ascii="宋体" w:hAnsi="宋体"/>
          <w:b/>
          <w:bCs/>
          <w:color w:val="auto"/>
          <w:sz w:val="24"/>
          <w:highlight w:val="none"/>
        </w:rPr>
        <w:t>法定代表人或其委托代理人：</w:t>
      </w:r>
      <w:r>
        <w:rPr>
          <w:rFonts w:hint="eastAsia" w:ascii="宋体" w:hAnsi="宋体"/>
          <w:b/>
          <w:bCs/>
          <w:color w:val="auto"/>
          <w:sz w:val="24"/>
          <w:highlight w:val="none"/>
          <w:u w:val="single"/>
        </w:rPr>
        <w:t xml:space="preserve">         （签字或盖章）</w:t>
      </w:r>
    </w:p>
    <w:p w14:paraId="6C5C52CF">
      <w:pPr>
        <w:spacing w:before="62" w:beforeLines="20" w:after="62" w:afterLines="20" w:line="360" w:lineRule="auto"/>
        <w:jc w:val="center"/>
        <w:rPr>
          <w:rFonts w:ascii="宋体" w:hAnsi="宋体"/>
          <w:b/>
          <w:color w:val="auto"/>
          <w:sz w:val="24"/>
          <w:highlight w:val="none"/>
        </w:rPr>
      </w:pPr>
      <w:r>
        <w:rPr>
          <w:rFonts w:hint="eastAsia" w:ascii="宋体" w:hAnsi="宋体"/>
          <w:b/>
          <w:color w:val="auto"/>
          <w:sz w:val="24"/>
          <w:highlight w:val="none"/>
        </w:rPr>
        <w:t>日  期：</w:t>
      </w:r>
      <w:r>
        <w:rPr>
          <w:rFonts w:hint="eastAsia" w:ascii="宋体" w:hAnsi="宋体"/>
          <w:b/>
          <w:color w:val="auto"/>
          <w:sz w:val="24"/>
          <w:highlight w:val="none"/>
          <w:u w:val="single"/>
        </w:rPr>
        <w:t xml:space="preserve">      </w:t>
      </w:r>
      <w:r>
        <w:rPr>
          <w:rFonts w:hint="eastAsia" w:ascii="宋体" w:hAnsi="宋体"/>
          <w:b/>
          <w:color w:val="auto"/>
          <w:sz w:val="24"/>
          <w:highlight w:val="none"/>
        </w:rPr>
        <w:t xml:space="preserve"> 年</w:t>
      </w:r>
      <w:r>
        <w:rPr>
          <w:rFonts w:hint="eastAsia" w:ascii="宋体" w:hAnsi="宋体"/>
          <w:b/>
          <w:color w:val="auto"/>
          <w:sz w:val="24"/>
          <w:highlight w:val="none"/>
          <w:u w:val="single"/>
        </w:rPr>
        <w:t xml:space="preserve">     </w:t>
      </w:r>
      <w:r>
        <w:rPr>
          <w:rFonts w:hint="eastAsia" w:ascii="宋体" w:hAnsi="宋体"/>
          <w:b/>
          <w:color w:val="auto"/>
          <w:sz w:val="24"/>
          <w:highlight w:val="none"/>
        </w:rPr>
        <w:t xml:space="preserve"> 月</w:t>
      </w:r>
      <w:r>
        <w:rPr>
          <w:rFonts w:hint="eastAsia" w:ascii="宋体" w:hAnsi="宋体"/>
          <w:b/>
          <w:color w:val="auto"/>
          <w:sz w:val="24"/>
          <w:highlight w:val="none"/>
          <w:u w:val="single"/>
        </w:rPr>
        <w:t xml:space="preserve">     </w:t>
      </w:r>
      <w:r>
        <w:rPr>
          <w:rFonts w:hint="eastAsia" w:ascii="宋体" w:hAnsi="宋体"/>
          <w:b/>
          <w:color w:val="auto"/>
          <w:sz w:val="24"/>
          <w:highlight w:val="none"/>
        </w:rPr>
        <w:t>日</w:t>
      </w:r>
    </w:p>
    <w:p w14:paraId="5C9509A8">
      <w:pPr>
        <w:spacing w:line="360" w:lineRule="auto"/>
        <w:rPr>
          <w:rFonts w:ascii="宋体" w:hAnsi="宋体"/>
          <w:color w:val="auto"/>
          <w:szCs w:val="21"/>
          <w:highlight w:val="none"/>
        </w:rPr>
        <w:sectPr>
          <w:pgSz w:w="11906" w:h="16838"/>
          <w:pgMar w:top="1418" w:right="1077" w:bottom="1418" w:left="1077" w:header="851" w:footer="992" w:gutter="0"/>
          <w:cols w:space="720" w:num="1"/>
          <w:docGrid w:type="lines" w:linePitch="312" w:charSpace="0"/>
        </w:sectPr>
      </w:pPr>
    </w:p>
    <w:p w14:paraId="1B661976">
      <w:pPr>
        <w:pStyle w:val="49"/>
        <w:spacing w:line="360" w:lineRule="auto"/>
        <w:jc w:val="center"/>
        <w:rPr>
          <w:rFonts w:ascii="宋体" w:hAnsi="宋体"/>
          <w:b/>
          <w:color w:val="auto"/>
          <w:sz w:val="32"/>
          <w:szCs w:val="32"/>
          <w:highlight w:val="none"/>
        </w:rPr>
      </w:pPr>
      <w:r>
        <w:rPr>
          <w:rFonts w:hint="eastAsia" w:ascii="宋体" w:hAnsi="宋体"/>
          <w:b/>
          <w:color w:val="auto"/>
          <w:kern w:val="2"/>
          <w:sz w:val="32"/>
          <w:szCs w:val="32"/>
          <w:highlight w:val="none"/>
        </w:rPr>
        <w:t>目   录</w:t>
      </w:r>
    </w:p>
    <w:p w14:paraId="24372509">
      <w:pPr>
        <w:pStyle w:val="49"/>
        <w:spacing w:line="360" w:lineRule="auto"/>
        <w:jc w:val="center"/>
        <w:rPr>
          <w:rFonts w:ascii="宋体" w:hAnsi="宋体"/>
          <w:b/>
          <w:color w:val="auto"/>
          <w:sz w:val="28"/>
          <w:szCs w:val="28"/>
          <w:highlight w:val="none"/>
        </w:rPr>
      </w:pPr>
    </w:p>
    <w:p w14:paraId="5EFFAB36">
      <w:pPr>
        <w:pStyle w:val="49"/>
        <w:ind w:firstLine="480" w:firstLineChars="200"/>
        <w:rPr>
          <w:rFonts w:ascii="宋体" w:hAnsi="宋体" w:cs="仿宋"/>
          <w:color w:val="auto"/>
          <w:kern w:val="2"/>
          <w:highlight w:val="none"/>
        </w:rPr>
      </w:pPr>
      <w:r>
        <w:rPr>
          <w:rFonts w:hint="eastAsia" w:ascii="宋体" w:hAnsi="宋体" w:cs="仿宋"/>
          <w:color w:val="auto"/>
          <w:kern w:val="2"/>
          <w:highlight w:val="none"/>
        </w:rPr>
        <w:t>（1）法定代表人身份证明书</w:t>
      </w:r>
    </w:p>
    <w:p w14:paraId="54B25B3B">
      <w:pPr>
        <w:pStyle w:val="49"/>
        <w:ind w:firstLine="480" w:firstLineChars="200"/>
        <w:rPr>
          <w:rFonts w:hint="eastAsia" w:ascii="宋体" w:hAnsi="宋体" w:cs="仿宋"/>
          <w:color w:val="auto"/>
          <w:highlight w:val="none"/>
        </w:rPr>
      </w:pPr>
      <w:r>
        <w:rPr>
          <w:rFonts w:hint="eastAsia" w:ascii="宋体" w:hAnsi="宋体" w:cs="仿宋"/>
          <w:color w:val="auto"/>
          <w:kern w:val="2"/>
          <w:highlight w:val="none"/>
        </w:rPr>
        <w:t>（2）法定代表人身份证复印件</w:t>
      </w:r>
    </w:p>
    <w:p w14:paraId="655EE179">
      <w:pPr>
        <w:pStyle w:val="49"/>
        <w:ind w:firstLine="480" w:firstLineChars="200"/>
        <w:rPr>
          <w:rFonts w:ascii="宋体" w:hAnsi="宋体" w:cs="仿宋"/>
          <w:color w:val="auto"/>
          <w:kern w:val="2"/>
          <w:highlight w:val="none"/>
        </w:rPr>
      </w:pPr>
      <w:r>
        <w:rPr>
          <w:rFonts w:hint="eastAsia" w:ascii="宋体" w:hAnsi="宋体" w:cs="仿宋"/>
          <w:color w:val="auto"/>
          <w:kern w:val="2"/>
          <w:highlight w:val="none"/>
        </w:rPr>
        <w:t>（</w:t>
      </w:r>
      <w:r>
        <w:rPr>
          <w:rFonts w:ascii="宋体" w:hAnsi="宋体" w:cs="仿宋"/>
          <w:color w:val="auto"/>
          <w:kern w:val="2"/>
          <w:highlight w:val="none"/>
        </w:rPr>
        <w:t>3</w:t>
      </w:r>
      <w:r>
        <w:rPr>
          <w:rFonts w:hint="eastAsia" w:ascii="宋体" w:hAnsi="宋体" w:cs="仿宋"/>
          <w:color w:val="auto"/>
          <w:kern w:val="2"/>
          <w:highlight w:val="none"/>
        </w:rPr>
        <w:t>）授权委托书</w:t>
      </w:r>
    </w:p>
    <w:p w14:paraId="5128CC01">
      <w:pPr>
        <w:pStyle w:val="49"/>
        <w:ind w:firstLine="480" w:firstLineChars="200"/>
        <w:rPr>
          <w:rFonts w:hint="eastAsia" w:ascii="宋体" w:hAnsi="宋体" w:cs="仿宋"/>
          <w:color w:val="auto"/>
          <w:highlight w:val="none"/>
        </w:rPr>
      </w:pPr>
      <w:r>
        <w:rPr>
          <w:rFonts w:hint="eastAsia" w:ascii="宋体" w:hAnsi="宋体" w:cs="仿宋"/>
          <w:color w:val="auto"/>
          <w:highlight w:val="none"/>
        </w:rPr>
        <w:t>（4）授权委托人身份证复印件</w:t>
      </w:r>
    </w:p>
    <w:p w14:paraId="57A2B7E3">
      <w:pPr>
        <w:pStyle w:val="49"/>
        <w:ind w:firstLine="480" w:firstLineChars="200"/>
        <w:rPr>
          <w:rFonts w:ascii="宋体" w:hAnsi="宋体" w:cs="仿宋"/>
          <w:color w:val="auto"/>
          <w:highlight w:val="none"/>
        </w:rPr>
      </w:pPr>
      <w:r>
        <w:rPr>
          <w:rFonts w:hint="eastAsia" w:ascii="宋体" w:hAnsi="宋体" w:cs="仿宋"/>
          <w:color w:val="auto"/>
          <w:kern w:val="2"/>
          <w:highlight w:val="none"/>
        </w:rPr>
        <w:t>（</w:t>
      </w:r>
      <w:r>
        <w:rPr>
          <w:rFonts w:ascii="宋体" w:hAnsi="宋体" w:cs="仿宋"/>
          <w:color w:val="auto"/>
          <w:kern w:val="2"/>
          <w:highlight w:val="none"/>
        </w:rPr>
        <w:t>5</w:t>
      </w:r>
      <w:r>
        <w:rPr>
          <w:rFonts w:hint="eastAsia" w:ascii="宋体" w:hAnsi="宋体" w:cs="仿宋"/>
          <w:color w:val="auto"/>
          <w:kern w:val="2"/>
          <w:highlight w:val="none"/>
        </w:rPr>
        <w:t>）企业营业执照扫描件</w:t>
      </w:r>
    </w:p>
    <w:p w14:paraId="74520970">
      <w:pPr>
        <w:pStyle w:val="49"/>
        <w:ind w:firstLine="480" w:firstLineChars="200"/>
        <w:rPr>
          <w:rFonts w:ascii="宋体" w:hAnsi="宋体" w:cs="仿宋"/>
          <w:color w:val="auto"/>
          <w:highlight w:val="none"/>
        </w:rPr>
      </w:pPr>
      <w:r>
        <w:rPr>
          <w:rFonts w:hint="eastAsia" w:ascii="宋体" w:hAnsi="宋体" w:cs="仿宋"/>
          <w:color w:val="auto"/>
          <w:kern w:val="2"/>
          <w:highlight w:val="none"/>
        </w:rPr>
        <w:t>（</w:t>
      </w:r>
      <w:r>
        <w:rPr>
          <w:rFonts w:ascii="宋体" w:hAnsi="宋体" w:cs="仿宋"/>
          <w:color w:val="auto"/>
          <w:kern w:val="2"/>
          <w:highlight w:val="none"/>
        </w:rPr>
        <w:t>6</w:t>
      </w:r>
      <w:r>
        <w:rPr>
          <w:rFonts w:hint="eastAsia" w:ascii="宋体" w:hAnsi="宋体" w:cs="仿宋"/>
          <w:color w:val="auto"/>
          <w:kern w:val="2"/>
          <w:highlight w:val="none"/>
        </w:rPr>
        <w:t>）企业资质证书扫描件</w:t>
      </w:r>
    </w:p>
    <w:p w14:paraId="3DAF47FB">
      <w:pPr>
        <w:pStyle w:val="49"/>
        <w:ind w:firstLine="480" w:firstLineChars="200"/>
        <w:rPr>
          <w:rFonts w:hint="eastAsia" w:ascii="宋体" w:hAnsi="宋体" w:eastAsia="宋体" w:cs="仿宋"/>
          <w:color w:val="auto"/>
          <w:kern w:val="2"/>
          <w:highlight w:val="none"/>
          <w:lang w:eastAsia="zh-CN"/>
        </w:rPr>
      </w:pPr>
      <w:r>
        <w:rPr>
          <w:rFonts w:hint="eastAsia" w:ascii="宋体" w:hAnsi="宋体" w:cs="仿宋"/>
          <w:color w:val="auto"/>
          <w:kern w:val="2"/>
          <w:highlight w:val="none"/>
        </w:rPr>
        <w:t>（</w:t>
      </w:r>
      <w:r>
        <w:rPr>
          <w:rFonts w:ascii="宋体" w:hAnsi="宋体" w:cs="仿宋"/>
          <w:color w:val="auto"/>
          <w:kern w:val="2"/>
          <w:highlight w:val="none"/>
        </w:rPr>
        <w:t>7</w:t>
      </w:r>
      <w:r>
        <w:rPr>
          <w:rFonts w:hint="eastAsia" w:ascii="宋体" w:hAnsi="宋体" w:cs="仿宋"/>
          <w:color w:val="auto"/>
          <w:kern w:val="2"/>
          <w:highlight w:val="none"/>
        </w:rPr>
        <w:t>）项目负责人证书、社保扫描件</w:t>
      </w:r>
      <w:r>
        <w:rPr>
          <w:rFonts w:hint="eastAsia" w:ascii="宋体" w:hAnsi="宋体" w:cs="仿宋"/>
          <w:color w:val="auto"/>
          <w:kern w:val="2"/>
          <w:highlight w:val="none"/>
          <w:lang w:eastAsia="zh-CN"/>
        </w:rPr>
        <w:t>（</w:t>
      </w:r>
      <w:r>
        <w:rPr>
          <w:rFonts w:hint="eastAsia" w:ascii="宋体" w:hAnsi="宋体" w:cs="仿宋"/>
          <w:color w:val="auto"/>
          <w:kern w:val="2"/>
          <w:highlight w:val="none"/>
          <w:lang w:val="en-US" w:eastAsia="zh-CN"/>
        </w:rPr>
        <w:t>如有</w:t>
      </w:r>
      <w:r>
        <w:rPr>
          <w:rFonts w:hint="eastAsia" w:ascii="宋体" w:hAnsi="宋体" w:cs="仿宋"/>
          <w:color w:val="auto"/>
          <w:kern w:val="2"/>
          <w:highlight w:val="none"/>
          <w:lang w:eastAsia="zh-CN"/>
        </w:rPr>
        <w:t>）</w:t>
      </w:r>
    </w:p>
    <w:p w14:paraId="0643C2FB">
      <w:pPr>
        <w:pStyle w:val="49"/>
        <w:ind w:firstLine="480" w:firstLineChars="200"/>
        <w:rPr>
          <w:rFonts w:ascii="宋体" w:hAnsi="宋体" w:cs="仿宋"/>
          <w:color w:val="auto"/>
          <w:kern w:val="2"/>
          <w:highlight w:val="none"/>
        </w:rPr>
      </w:pPr>
      <w:r>
        <w:rPr>
          <w:rFonts w:hint="eastAsia" w:ascii="宋体" w:hAnsi="宋体" w:cs="仿宋"/>
          <w:color w:val="auto"/>
          <w:kern w:val="2"/>
          <w:highlight w:val="none"/>
        </w:rPr>
        <w:t>（</w:t>
      </w:r>
      <w:r>
        <w:rPr>
          <w:rFonts w:ascii="宋体" w:hAnsi="宋体" w:cs="仿宋"/>
          <w:color w:val="auto"/>
          <w:kern w:val="2"/>
          <w:highlight w:val="none"/>
        </w:rPr>
        <w:t>8</w:t>
      </w:r>
      <w:r>
        <w:rPr>
          <w:rFonts w:hint="eastAsia" w:ascii="宋体" w:hAnsi="宋体" w:cs="仿宋"/>
          <w:color w:val="auto"/>
          <w:kern w:val="2"/>
          <w:highlight w:val="none"/>
        </w:rPr>
        <w:t>）诚信承诺书</w:t>
      </w:r>
    </w:p>
    <w:p w14:paraId="74FFA8B6">
      <w:pPr>
        <w:pStyle w:val="49"/>
        <w:ind w:firstLine="480" w:firstLineChars="200"/>
        <w:rPr>
          <w:rFonts w:hint="eastAsia" w:ascii="宋体" w:hAnsi="宋体" w:cs="仿宋"/>
          <w:color w:val="auto"/>
          <w:kern w:val="2"/>
          <w:highlight w:val="none"/>
        </w:rPr>
      </w:pPr>
      <w:r>
        <w:rPr>
          <w:rFonts w:hint="eastAsia" w:ascii="宋体" w:hAnsi="宋体" w:cs="仿宋"/>
          <w:color w:val="auto"/>
          <w:kern w:val="2"/>
          <w:highlight w:val="none"/>
        </w:rPr>
        <w:t>（</w:t>
      </w:r>
      <w:r>
        <w:rPr>
          <w:rFonts w:ascii="宋体" w:hAnsi="宋体" w:cs="仿宋"/>
          <w:color w:val="auto"/>
          <w:kern w:val="2"/>
          <w:highlight w:val="none"/>
        </w:rPr>
        <w:t>9</w:t>
      </w:r>
      <w:r>
        <w:rPr>
          <w:rFonts w:hint="eastAsia" w:ascii="宋体" w:hAnsi="宋体" w:cs="仿宋"/>
          <w:color w:val="auto"/>
          <w:kern w:val="2"/>
          <w:highlight w:val="none"/>
        </w:rPr>
        <w:t>）企业业绩及证明材料（如有）</w:t>
      </w:r>
    </w:p>
    <w:p w14:paraId="5F9F389F">
      <w:pPr>
        <w:pStyle w:val="49"/>
        <w:ind w:firstLine="480" w:firstLineChars="200"/>
        <w:rPr>
          <w:rFonts w:hint="eastAsia" w:ascii="宋体" w:hAnsi="宋体" w:cs="仿宋"/>
          <w:color w:val="auto"/>
          <w:kern w:val="2"/>
          <w:highlight w:val="none"/>
        </w:rPr>
      </w:pPr>
      <w:r>
        <w:rPr>
          <w:rFonts w:hint="eastAsia" w:ascii="宋体" w:hAnsi="宋体" w:cs="仿宋"/>
          <w:color w:val="auto"/>
          <w:kern w:val="2"/>
          <w:highlight w:val="none"/>
        </w:rPr>
        <w:t>（10）投标函</w:t>
      </w:r>
    </w:p>
    <w:p w14:paraId="243EB86A">
      <w:pPr>
        <w:pStyle w:val="49"/>
        <w:ind w:firstLine="480" w:firstLineChars="200"/>
        <w:rPr>
          <w:rFonts w:hint="eastAsia" w:ascii="宋体" w:hAnsi="宋体" w:cs="仿宋"/>
          <w:color w:val="auto"/>
          <w:kern w:val="2"/>
          <w:highlight w:val="none"/>
        </w:rPr>
      </w:pPr>
      <w:r>
        <w:rPr>
          <w:rFonts w:hint="eastAsia" w:ascii="宋体" w:hAnsi="宋体" w:cs="仿宋"/>
          <w:color w:val="auto"/>
          <w:kern w:val="2"/>
          <w:highlight w:val="none"/>
        </w:rPr>
        <w:t>（1</w:t>
      </w:r>
      <w:r>
        <w:rPr>
          <w:rFonts w:hint="eastAsia" w:cs="仿宋"/>
          <w:color w:val="auto"/>
          <w:kern w:val="2"/>
          <w:highlight w:val="none"/>
          <w:lang w:val="en-US" w:eastAsia="zh-CN"/>
        </w:rPr>
        <w:t>1</w:t>
      </w:r>
      <w:r>
        <w:rPr>
          <w:rFonts w:hint="eastAsia" w:ascii="宋体" w:hAnsi="宋体" w:cs="仿宋"/>
          <w:color w:val="auto"/>
          <w:kern w:val="2"/>
          <w:highlight w:val="none"/>
        </w:rPr>
        <w:t>）报价表</w:t>
      </w:r>
    </w:p>
    <w:p w14:paraId="28C18085">
      <w:pPr>
        <w:pStyle w:val="49"/>
        <w:ind w:firstLine="480" w:firstLineChars="200"/>
        <w:rPr>
          <w:rFonts w:hint="eastAsia" w:ascii="宋体" w:hAnsi="宋体" w:cs="仿宋"/>
          <w:color w:val="auto"/>
          <w:kern w:val="2"/>
          <w:highlight w:val="none"/>
          <w:lang w:eastAsia="zh-CN"/>
        </w:rPr>
      </w:pPr>
      <w:r>
        <w:rPr>
          <w:rFonts w:hint="eastAsia" w:ascii="宋体" w:hAnsi="宋体" w:cs="仿宋"/>
          <w:color w:val="auto"/>
          <w:kern w:val="2"/>
          <w:highlight w:val="none"/>
          <w:lang w:eastAsia="zh-CN"/>
        </w:rPr>
        <w:t>（</w:t>
      </w:r>
      <w:r>
        <w:rPr>
          <w:rFonts w:hint="eastAsia" w:ascii="宋体" w:hAnsi="宋体" w:cs="仿宋"/>
          <w:color w:val="auto"/>
          <w:kern w:val="2"/>
          <w:highlight w:val="none"/>
          <w:lang w:val="en-US" w:eastAsia="zh-CN"/>
        </w:rPr>
        <w:t>1</w:t>
      </w:r>
      <w:r>
        <w:rPr>
          <w:rFonts w:hint="eastAsia" w:cs="仿宋"/>
          <w:color w:val="auto"/>
          <w:kern w:val="2"/>
          <w:highlight w:val="none"/>
          <w:lang w:val="en-US" w:eastAsia="zh-CN"/>
        </w:rPr>
        <w:t>2</w:t>
      </w:r>
      <w:r>
        <w:rPr>
          <w:rFonts w:hint="eastAsia" w:ascii="宋体" w:hAnsi="宋体" w:cs="仿宋"/>
          <w:color w:val="auto"/>
          <w:kern w:val="2"/>
          <w:highlight w:val="none"/>
          <w:lang w:eastAsia="zh-CN"/>
        </w:rPr>
        <w:t>）检测方案</w:t>
      </w:r>
    </w:p>
    <w:p w14:paraId="1F388DD9">
      <w:pPr>
        <w:pStyle w:val="49"/>
        <w:ind w:firstLine="480" w:firstLineChars="200"/>
        <w:rPr>
          <w:rFonts w:hint="eastAsia" w:ascii="宋体" w:hAnsi="宋体" w:eastAsia="宋体" w:cs="仿宋"/>
          <w:color w:val="auto"/>
          <w:kern w:val="2"/>
          <w:highlight w:val="none"/>
          <w:lang w:eastAsia="zh-CN"/>
        </w:rPr>
      </w:pPr>
      <w:r>
        <w:rPr>
          <w:rFonts w:hint="eastAsia" w:ascii="宋体" w:hAnsi="宋体" w:cs="仿宋"/>
          <w:color w:val="auto"/>
          <w:kern w:val="2"/>
          <w:highlight w:val="none"/>
          <w:lang w:eastAsia="zh-CN"/>
        </w:rPr>
        <w:t>（</w:t>
      </w:r>
      <w:r>
        <w:rPr>
          <w:rFonts w:hint="eastAsia" w:ascii="宋体" w:hAnsi="宋体" w:cs="仿宋"/>
          <w:color w:val="auto"/>
          <w:kern w:val="2"/>
          <w:highlight w:val="none"/>
          <w:lang w:val="en-US" w:eastAsia="zh-CN"/>
        </w:rPr>
        <w:t>1</w:t>
      </w:r>
      <w:r>
        <w:rPr>
          <w:rFonts w:hint="eastAsia" w:cs="仿宋"/>
          <w:color w:val="auto"/>
          <w:kern w:val="2"/>
          <w:highlight w:val="none"/>
          <w:lang w:val="en-US" w:eastAsia="zh-CN"/>
        </w:rPr>
        <w:t>3</w:t>
      </w:r>
      <w:r>
        <w:rPr>
          <w:rFonts w:hint="eastAsia" w:ascii="宋体" w:hAnsi="宋体" w:cs="仿宋"/>
          <w:color w:val="auto"/>
          <w:kern w:val="2"/>
          <w:highlight w:val="none"/>
          <w:lang w:eastAsia="zh-CN"/>
        </w:rPr>
        <w:t>）</w:t>
      </w:r>
      <w:r>
        <w:rPr>
          <w:rFonts w:hint="eastAsia" w:ascii="宋体" w:hAnsi="宋体" w:cs="仿宋"/>
          <w:color w:val="auto"/>
          <w:kern w:val="2"/>
          <w:highlight w:val="none"/>
        </w:rPr>
        <w:t>投标人认为需要提交的其它资料</w:t>
      </w:r>
      <w:r>
        <w:rPr>
          <w:rFonts w:hint="eastAsia" w:ascii="宋体" w:hAnsi="宋体" w:cs="仿宋"/>
          <w:color w:val="auto"/>
          <w:kern w:val="2"/>
          <w:highlight w:val="none"/>
          <w:lang w:eastAsia="zh-CN"/>
        </w:rPr>
        <w:t>（</w:t>
      </w:r>
      <w:r>
        <w:rPr>
          <w:rFonts w:hint="eastAsia" w:ascii="宋体" w:hAnsi="宋体" w:cs="仿宋"/>
          <w:color w:val="auto"/>
          <w:kern w:val="2"/>
          <w:highlight w:val="none"/>
          <w:lang w:val="en-US" w:eastAsia="zh-CN"/>
        </w:rPr>
        <w:t>详见评标办法</w:t>
      </w:r>
      <w:r>
        <w:rPr>
          <w:rFonts w:hint="eastAsia" w:ascii="宋体" w:hAnsi="宋体" w:cs="仿宋"/>
          <w:color w:val="auto"/>
          <w:kern w:val="2"/>
          <w:highlight w:val="none"/>
          <w:lang w:eastAsia="zh-CN"/>
        </w:rPr>
        <w:t>）</w:t>
      </w:r>
    </w:p>
    <w:p w14:paraId="3B07167A">
      <w:pPr>
        <w:pStyle w:val="49"/>
        <w:ind w:firstLine="480" w:firstLineChars="200"/>
        <w:rPr>
          <w:rFonts w:hint="eastAsia" w:ascii="宋体" w:hAnsi="宋体" w:cs="仿宋"/>
          <w:color w:val="auto"/>
          <w:kern w:val="2"/>
          <w:highlight w:val="none"/>
        </w:rPr>
      </w:pPr>
    </w:p>
    <w:p w14:paraId="3591DE93">
      <w:pPr>
        <w:spacing w:line="360" w:lineRule="auto"/>
        <w:rPr>
          <w:rFonts w:ascii="宋体" w:hAnsi="宋体"/>
          <w:color w:val="auto"/>
          <w:szCs w:val="21"/>
          <w:highlight w:val="none"/>
        </w:rPr>
        <w:sectPr>
          <w:pgSz w:w="11906" w:h="16838"/>
          <w:pgMar w:top="1418" w:right="1077" w:bottom="1418" w:left="1077" w:header="851" w:footer="992" w:gutter="0"/>
          <w:cols w:space="720" w:num="1"/>
          <w:docGrid w:type="lines" w:linePitch="312" w:charSpace="0"/>
        </w:sectPr>
      </w:pPr>
    </w:p>
    <w:p w14:paraId="2C4A5B6D">
      <w:pPr>
        <w:pStyle w:val="49"/>
        <w:spacing w:line="360" w:lineRule="auto"/>
        <w:jc w:val="center"/>
        <w:rPr>
          <w:rFonts w:ascii="宋体" w:hAnsi="宋体" w:cs="仿宋"/>
          <w:b/>
          <w:color w:val="auto"/>
          <w:sz w:val="28"/>
          <w:szCs w:val="28"/>
          <w:highlight w:val="none"/>
        </w:rPr>
      </w:pPr>
      <w:bookmarkStart w:id="179" w:name="_Toc17197759"/>
      <w:r>
        <w:rPr>
          <w:rFonts w:hint="eastAsia" w:hAnsi="宋体"/>
          <w:b/>
          <w:color w:val="auto"/>
          <w:sz w:val="28"/>
          <w:szCs w:val="28"/>
          <w:highlight w:val="none"/>
        </w:rPr>
        <w:t>（1）</w:t>
      </w:r>
      <w:r>
        <w:rPr>
          <w:rFonts w:hint="eastAsia" w:ascii="宋体" w:hAnsi="宋体" w:cs="仿宋"/>
          <w:b/>
          <w:color w:val="auto"/>
          <w:kern w:val="2"/>
          <w:sz w:val="28"/>
          <w:szCs w:val="28"/>
          <w:highlight w:val="none"/>
        </w:rPr>
        <w:t>法定代表人身份证明书</w:t>
      </w:r>
      <w:bookmarkEnd w:id="179"/>
    </w:p>
    <w:p w14:paraId="1D7A6001">
      <w:pPr>
        <w:spacing w:before="62" w:beforeLines="20" w:after="62" w:afterLines="20" w:line="360" w:lineRule="auto"/>
        <w:jc w:val="center"/>
        <w:rPr>
          <w:rFonts w:ascii="宋体" w:hAnsi="宋体" w:cs="仿宋"/>
          <w:b/>
          <w:color w:val="auto"/>
          <w:sz w:val="24"/>
          <w:highlight w:val="none"/>
        </w:rPr>
      </w:pPr>
    </w:p>
    <w:p w14:paraId="016072E4">
      <w:pPr>
        <w:spacing w:before="62" w:beforeLines="20" w:after="62" w:afterLines="20"/>
        <w:rPr>
          <w:rFonts w:ascii="宋体" w:hAnsi="宋体" w:cs="仿宋"/>
          <w:b/>
          <w:color w:val="auto"/>
          <w:sz w:val="24"/>
          <w:highlight w:val="none"/>
        </w:rPr>
      </w:pPr>
    </w:p>
    <w:p w14:paraId="527C3754">
      <w:pPr>
        <w:spacing w:before="62" w:beforeLines="20" w:after="62" w:afterLines="20" w:line="360" w:lineRule="auto"/>
        <w:ind w:firstLine="610"/>
        <w:rPr>
          <w:rFonts w:hint="eastAsia" w:ascii="宋体" w:hAnsi="宋体"/>
          <w:color w:val="auto"/>
          <w:sz w:val="24"/>
          <w:highlight w:val="none"/>
        </w:rPr>
      </w:pPr>
      <w:r>
        <w:rPr>
          <w:rFonts w:hint="eastAsia" w:ascii="宋体" w:hAnsi="宋体"/>
          <w:color w:val="auto"/>
          <w:sz w:val="24"/>
          <w:highlight w:val="none"/>
        </w:rPr>
        <w:t>单位名称：</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14:paraId="2892096D">
      <w:pPr>
        <w:spacing w:before="62" w:beforeLines="20" w:after="62" w:afterLines="20" w:line="360" w:lineRule="auto"/>
        <w:ind w:firstLine="610"/>
        <w:rPr>
          <w:rFonts w:hint="eastAsia" w:ascii="宋体" w:hAnsi="宋体"/>
          <w:color w:val="auto"/>
          <w:sz w:val="24"/>
          <w:highlight w:val="none"/>
          <w:u w:val="singl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14:paraId="7D5E31B8">
      <w:pPr>
        <w:spacing w:before="62" w:beforeLines="20" w:after="62" w:afterLines="20" w:line="360" w:lineRule="auto"/>
        <w:ind w:firstLine="610"/>
        <w:rPr>
          <w:rFonts w:hint="eastAsia"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ab/>
      </w:r>
      <w:r>
        <w:rPr>
          <w:rFonts w:hint="eastAsia" w:ascii="宋体" w:hAnsi="宋体"/>
          <w:color w:val="auto"/>
          <w:sz w:val="24"/>
          <w:highlight w:val="none"/>
          <w:u w:val="single"/>
        </w:rPr>
        <w:t xml:space="preserve">            </w:t>
      </w:r>
      <w:r>
        <w:rPr>
          <w:rFonts w:hint="eastAsia" w:ascii="宋体" w:hAnsi="宋体"/>
          <w:color w:val="auto"/>
          <w:sz w:val="24"/>
          <w:highlight w:val="none"/>
          <w:u w:val="single"/>
        </w:rPr>
        <w:tab/>
      </w:r>
    </w:p>
    <w:p w14:paraId="66EFDAED">
      <w:pPr>
        <w:spacing w:before="62" w:beforeLines="20" w:after="62" w:afterLines="20" w:line="360" w:lineRule="auto"/>
        <w:ind w:firstLine="610"/>
        <w:rPr>
          <w:rFonts w:hint="eastAsia" w:ascii="宋体" w:hAnsi="宋体"/>
          <w:color w:val="auto"/>
          <w:sz w:val="24"/>
          <w:highlight w:val="none"/>
        </w:rPr>
      </w:pPr>
      <w:r>
        <w:rPr>
          <w:rFonts w:hint="eastAsia" w:ascii="宋体" w:hAnsi="宋体"/>
          <w:color w:val="auto"/>
          <w:sz w:val="24"/>
          <w:highlight w:val="none"/>
        </w:rPr>
        <w:t>成立时间：</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年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月 </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183A8C89">
      <w:pPr>
        <w:spacing w:before="62" w:beforeLines="20" w:after="62" w:afterLines="20" w:line="360" w:lineRule="auto"/>
        <w:ind w:firstLine="610"/>
        <w:rPr>
          <w:rFonts w:hint="eastAsia" w:ascii="宋体" w:hAnsi="宋体"/>
          <w:color w:val="auto"/>
          <w:sz w:val="24"/>
          <w:highlight w:val="none"/>
        </w:rPr>
      </w:pPr>
      <w:r>
        <w:rPr>
          <w:rFonts w:hint="eastAsia" w:ascii="宋体" w:hAnsi="宋体"/>
          <w:color w:val="auto"/>
          <w:sz w:val="24"/>
          <w:highlight w:val="none"/>
        </w:rPr>
        <w:t>经营期限：</w:t>
      </w:r>
      <w:r>
        <w:rPr>
          <w:rFonts w:hint="eastAsia" w:ascii="宋体" w:hAnsi="宋体"/>
          <w:color w:val="auto"/>
          <w:sz w:val="24"/>
          <w:highlight w:val="none"/>
          <w:u w:val="single"/>
        </w:rPr>
        <w:t xml:space="preserve">                                           </w:t>
      </w:r>
      <w:r>
        <w:rPr>
          <w:rFonts w:hint="eastAsia" w:ascii="宋体" w:hAnsi="宋体"/>
          <w:color w:val="auto"/>
          <w:sz w:val="24"/>
          <w:highlight w:val="none"/>
        </w:rPr>
        <w:tab/>
      </w:r>
    </w:p>
    <w:p w14:paraId="2C5DD6F1">
      <w:pPr>
        <w:spacing w:before="62" w:beforeLines="20" w:after="62" w:afterLines="20" w:line="360" w:lineRule="auto"/>
        <w:ind w:firstLine="610"/>
        <w:rPr>
          <w:rFonts w:hint="eastAsia" w:ascii="宋体" w:hAnsi="宋体"/>
          <w:color w:val="auto"/>
          <w:sz w:val="24"/>
          <w:highlight w:val="none"/>
          <w:u w:val="single"/>
        </w:rPr>
      </w:pPr>
      <w:r>
        <w:rPr>
          <w:rFonts w:hint="eastAsia" w:ascii="宋体" w:hAnsi="宋体"/>
          <w:color w:val="auto"/>
          <w:sz w:val="24"/>
          <w:highlight w:val="none"/>
        </w:rPr>
        <w:t>姓    名：</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性别：</w:t>
      </w:r>
      <w:r>
        <w:rPr>
          <w:rFonts w:hint="eastAsia" w:ascii="宋体" w:hAnsi="宋体"/>
          <w:color w:val="auto"/>
          <w:sz w:val="24"/>
          <w:highlight w:val="none"/>
          <w:u w:val="single"/>
        </w:rPr>
        <w:t xml:space="preserve">                   </w:t>
      </w:r>
    </w:p>
    <w:p w14:paraId="7282FBD1">
      <w:pPr>
        <w:spacing w:before="62" w:beforeLines="20" w:after="62" w:afterLines="20" w:line="360" w:lineRule="auto"/>
        <w:ind w:firstLine="610"/>
        <w:rPr>
          <w:rFonts w:hint="eastAsia" w:ascii="宋体" w:hAnsi="宋体"/>
          <w:color w:val="auto"/>
          <w:sz w:val="24"/>
          <w:highlight w:val="none"/>
          <w:u w:val="single"/>
        </w:rPr>
      </w:pPr>
      <w:r>
        <w:rPr>
          <w:rFonts w:hint="eastAsia" w:ascii="宋体" w:hAnsi="宋体"/>
          <w:color w:val="auto"/>
          <w:sz w:val="24"/>
          <w:highlight w:val="none"/>
        </w:rPr>
        <w:t>年    龄：</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职务：</w:t>
      </w:r>
      <w:r>
        <w:rPr>
          <w:rFonts w:hint="eastAsia" w:ascii="宋体" w:hAnsi="宋体"/>
          <w:color w:val="auto"/>
          <w:sz w:val="24"/>
          <w:highlight w:val="none"/>
        </w:rPr>
        <w:tab/>
      </w:r>
      <w:r>
        <w:rPr>
          <w:rFonts w:hint="eastAsia" w:ascii="宋体" w:hAnsi="宋体"/>
          <w:color w:val="auto"/>
          <w:sz w:val="24"/>
          <w:highlight w:val="none"/>
          <w:u w:val="single"/>
        </w:rPr>
        <w:t xml:space="preserve">                   </w:t>
      </w:r>
    </w:p>
    <w:p w14:paraId="5E872F24">
      <w:pPr>
        <w:spacing w:before="62" w:beforeLines="20" w:after="62" w:afterLines="20" w:line="360" w:lineRule="auto"/>
        <w:ind w:firstLine="610"/>
        <w:rPr>
          <w:rFonts w:hint="eastAsia" w:ascii="宋体" w:hAnsi="宋体"/>
          <w:color w:val="auto"/>
          <w:sz w:val="24"/>
          <w:highlight w:val="none"/>
        </w:rPr>
      </w:pPr>
      <w:r>
        <w:rPr>
          <w:rFonts w:hint="eastAsia" w:ascii="宋体" w:hAnsi="宋体"/>
          <w:color w:val="auto"/>
          <w:sz w:val="24"/>
          <w:highlight w:val="none"/>
        </w:rPr>
        <w:t xml:space="preserve">系  </w:t>
      </w:r>
      <w:r>
        <w:rPr>
          <w:rFonts w:hint="eastAsia" w:ascii="宋体" w:hAnsi="宋体"/>
          <w:color w:val="auto"/>
          <w:sz w:val="24"/>
          <w:highlight w:val="none"/>
          <w:u w:val="single"/>
        </w:rPr>
        <w:t xml:space="preserve">        （投标人单位名称）        </w:t>
      </w:r>
      <w:r>
        <w:rPr>
          <w:rFonts w:hint="eastAsia" w:ascii="宋体" w:hAnsi="宋体"/>
          <w:color w:val="auto"/>
          <w:sz w:val="24"/>
          <w:highlight w:val="none"/>
        </w:rPr>
        <w:t xml:space="preserve"> 的法定代表人。</w:t>
      </w:r>
    </w:p>
    <w:p w14:paraId="41103168">
      <w:pPr>
        <w:spacing w:before="62" w:beforeLines="20" w:after="62" w:afterLines="20" w:line="360" w:lineRule="auto"/>
        <w:ind w:firstLine="610"/>
        <w:rPr>
          <w:rFonts w:hint="eastAsia" w:ascii="宋体" w:hAnsi="宋体"/>
          <w:color w:val="auto"/>
          <w:sz w:val="24"/>
          <w:highlight w:val="none"/>
        </w:rPr>
      </w:pPr>
      <w:r>
        <w:rPr>
          <w:rFonts w:hint="eastAsia" w:ascii="宋体" w:hAnsi="宋体"/>
          <w:color w:val="auto"/>
          <w:sz w:val="24"/>
          <w:highlight w:val="none"/>
        </w:rPr>
        <w:t xml:space="preserve">手机号码 ： </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 xml:space="preserve"> </w:t>
      </w:r>
    </w:p>
    <w:p w14:paraId="6BA15E25">
      <w:pPr>
        <w:pStyle w:val="20"/>
        <w:spacing w:before="62" w:beforeLines="20" w:after="62" w:afterLines="20" w:line="360" w:lineRule="auto"/>
        <w:ind w:firstLine="240" w:firstLineChars="100"/>
        <w:rPr>
          <w:color w:val="auto"/>
          <w:sz w:val="24"/>
          <w:highlight w:val="none"/>
        </w:rPr>
      </w:pPr>
      <w:r>
        <w:rPr>
          <w:color w:val="auto"/>
          <w:sz w:val="24"/>
          <w:highlight w:val="none"/>
        </w:rPr>
        <w:t>特此证明。</w:t>
      </w:r>
    </w:p>
    <w:p w14:paraId="15BFA006">
      <w:pPr>
        <w:pStyle w:val="49"/>
        <w:spacing w:before="62" w:beforeLines="20" w:after="62" w:afterLines="20"/>
        <w:ind w:left="480" w:leftChars="200" w:firstLine="240" w:firstLineChars="100"/>
        <w:rPr>
          <w:rFonts w:ascii="宋体" w:hAnsi="宋体" w:cs="仿宋"/>
          <w:color w:val="auto"/>
          <w:highlight w:val="none"/>
        </w:rPr>
      </w:pPr>
    </w:p>
    <w:p w14:paraId="4FF2383B">
      <w:pPr>
        <w:tabs>
          <w:tab w:val="left" w:pos="720"/>
          <w:tab w:val="left" w:pos="900"/>
        </w:tabs>
        <w:spacing w:before="62" w:beforeLines="20" w:after="62" w:afterLines="20" w:line="360" w:lineRule="auto"/>
        <w:ind w:firstLine="480" w:firstLineChars="200"/>
        <w:rPr>
          <w:rFonts w:ascii="宋体" w:hAnsi="宋体" w:cs="仿宋"/>
          <w:color w:val="auto"/>
          <w:sz w:val="24"/>
          <w:highlight w:val="none"/>
        </w:rPr>
      </w:pPr>
    </w:p>
    <w:p w14:paraId="380B1724">
      <w:pPr>
        <w:tabs>
          <w:tab w:val="left" w:pos="720"/>
          <w:tab w:val="left" w:pos="900"/>
        </w:tabs>
        <w:spacing w:before="62" w:beforeLines="20" w:after="62" w:afterLines="20" w:line="360" w:lineRule="auto"/>
        <w:ind w:firstLine="4560" w:firstLineChars="1900"/>
        <w:rPr>
          <w:rFonts w:ascii="宋体" w:hAnsi="宋体" w:cs="仿宋"/>
          <w:color w:val="auto"/>
          <w:sz w:val="24"/>
          <w:highlight w:val="none"/>
        </w:rPr>
      </w:pPr>
    </w:p>
    <w:p w14:paraId="7B16BDE8">
      <w:pPr>
        <w:tabs>
          <w:tab w:val="left" w:pos="720"/>
          <w:tab w:val="left" w:pos="900"/>
        </w:tabs>
        <w:spacing w:before="62" w:beforeLines="20" w:after="62" w:afterLines="20" w:line="360" w:lineRule="auto"/>
        <w:ind w:firstLine="4560" w:firstLineChars="1900"/>
        <w:rPr>
          <w:rFonts w:ascii="宋体" w:hAnsi="宋体" w:cs="仿宋"/>
          <w:color w:val="auto"/>
          <w:sz w:val="24"/>
          <w:highlight w:val="none"/>
        </w:rPr>
      </w:pPr>
    </w:p>
    <w:p w14:paraId="3A1B8B81">
      <w:pPr>
        <w:tabs>
          <w:tab w:val="left" w:pos="720"/>
          <w:tab w:val="left" w:pos="900"/>
        </w:tabs>
        <w:spacing w:before="62" w:beforeLines="20" w:after="62" w:afterLines="20" w:line="360" w:lineRule="auto"/>
        <w:ind w:firstLine="4560" w:firstLineChars="1900"/>
        <w:rPr>
          <w:rFonts w:ascii="宋体" w:hAnsi="宋体" w:cs="仿宋"/>
          <w:color w:val="auto"/>
          <w:sz w:val="24"/>
          <w:highlight w:val="none"/>
        </w:rPr>
      </w:pPr>
    </w:p>
    <w:p w14:paraId="06FEAF48">
      <w:pPr>
        <w:tabs>
          <w:tab w:val="left" w:pos="720"/>
          <w:tab w:val="left" w:pos="900"/>
        </w:tabs>
        <w:spacing w:before="62" w:beforeLines="20" w:after="62" w:afterLines="20" w:line="360" w:lineRule="auto"/>
        <w:ind w:firstLine="3840" w:firstLineChars="1600"/>
        <w:rPr>
          <w:rFonts w:ascii="宋体" w:hAnsi="宋体" w:cs="仿宋"/>
          <w:color w:val="auto"/>
          <w:sz w:val="24"/>
          <w:highlight w:val="none"/>
        </w:rPr>
      </w:pPr>
      <w:r>
        <w:rPr>
          <w:rFonts w:hint="eastAsia" w:ascii="宋体" w:hAnsi="宋体" w:cs="仿宋"/>
          <w:color w:val="auto"/>
          <w:sz w:val="24"/>
          <w:highlight w:val="none"/>
        </w:rPr>
        <w:t>投标人：</w:t>
      </w:r>
      <w:r>
        <w:rPr>
          <w:rFonts w:hint="eastAsia" w:ascii="宋体" w:hAnsi="宋体" w:cs="仿宋"/>
          <w:color w:val="auto"/>
          <w:sz w:val="24"/>
          <w:highlight w:val="none"/>
          <w:u w:val="single"/>
        </w:rPr>
        <w:t xml:space="preserve">             （</w:t>
      </w:r>
      <w:r>
        <w:rPr>
          <w:rFonts w:hint="eastAsia" w:ascii="宋体" w:hAnsi="宋体" w:cs="仿宋"/>
          <w:b/>
          <w:color w:val="auto"/>
          <w:sz w:val="24"/>
          <w:highlight w:val="none"/>
          <w:u w:val="single"/>
        </w:rPr>
        <w:t>盖章</w:t>
      </w:r>
      <w:r>
        <w:rPr>
          <w:rFonts w:hint="eastAsia" w:ascii="宋体" w:hAnsi="宋体" w:cs="仿宋"/>
          <w:color w:val="auto"/>
          <w:sz w:val="24"/>
          <w:highlight w:val="none"/>
          <w:u w:val="single"/>
        </w:rPr>
        <w:t>）</w:t>
      </w:r>
    </w:p>
    <w:p w14:paraId="3CFB2A65">
      <w:pPr>
        <w:spacing w:before="62" w:beforeLines="20" w:after="62" w:afterLines="20" w:line="360" w:lineRule="auto"/>
        <w:ind w:firstLine="3840" w:firstLineChars="1600"/>
        <w:rPr>
          <w:rFonts w:ascii="宋体" w:hAnsi="宋体" w:cs="仿宋"/>
          <w:color w:val="auto"/>
          <w:sz w:val="24"/>
          <w:highlight w:val="none"/>
        </w:rPr>
      </w:pPr>
      <w:r>
        <w:rPr>
          <w:rFonts w:hint="eastAsia" w:ascii="宋体" w:hAnsi="宋体" w:cs="仿宋"/>
          <w:color w:val="auto"/>
          <w:sz w:val="24"/>
          <w:highlight w:val="none"/>
        </w:rPr>
        <w:t>日  期：</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年</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月</w:t>
      </w:r>
      <w:r>
        <w:rPr>
          <w:rFonts w:hint="eastAsia" w:ascii="宋体" w:hAnsi="宋体" w:cs="仿宋"/>
          <w:color w:val="auto"/>
          <w:sz w:val="24"/>
          <w:highlight w:val="none"/>
          <w:u w:val="single"/>
        </w:rPr>
        <w:t xml:space="preserve">     </w:t>
      </w:r>
      <w:r>
        <w:rPr>
          <w:rFonts w:hint="eastAsia" w:ascii="宋体" w:hAnsi="宋体" w:cs="仿宋"/>
          <w:color w:val="auto"/>
          <w:sz w:val="24"/>
          <w:highlight w:val="none"/>
        </w:rPr>
        <w:t>日</w:t>
      </w:r>
    </w:p>
    <w:p w14:paraId="6443187D">
      <w:pPr>
        <w:spacing w:before="62" w:beforeLines="20" w:after="62" w:afterLines="20" w:line="360" w:lineRule="auto"/>
        <w:ind w:firstLine="3840" w:firstLineChars="1600"/>
        <w:rPr>
          <w:rFonts w:ascii="宋体" w:hAnsi="宋体" w:cs="仿宋"/>
          <w:color w:val="auto"/>
          <w:sz w:val="24"/>
          <w:highlight w:val="none"/>
        </w:rPr>
      </w:pPr>
    </w:p>
    <w:p w14:paraId="43143FAD">
      <w:pPr>
        <w:pStyle w:val="72"/>
        <w:ind w:firstLine="400"/>
        <w:rPr>
          <w:color w:val="auto"/>
          <w:highlight w:val="none"/>
        </w:rPr>
      </w:pPr>
    </w:p>
    <w:p w14:paraId="1B7B8744">
      <w:pPr>
        <w:pStyle w:val="72"/>
        <w:ind w:firstLine="400"/>
        <w:rPr>
          <w:color w:val="auto"/>
          <w:highlight w:val="none"/>
        </w:rPr>
      </w:pPr>
    </w:p>
    <w:p w14:paraId="64BDA592">
      <w:pPr>
        <w:pStyle w:val="27"/>
        <w:spacing w:line="360" w:lineRule="auto"/>
        <w:ind w:left="3360"/>
        <w:rPr>
          <w:rFonts w:hint="eastAsia" w:hAnsi="宋体"/>
          <w:b/>
          <w:color w:val="auto"/>
          <w:sz w:val="28"/>
          <w:szCs w:val="28"/>
          <w:highlight w:val="none"/>
        </w:rPr>
      </w:pPr>
      <w:r>
        <w:rPr>
          <w:rFonts w:hint="eastAsia" w:hAnsi="宋体"/>
          <w:b/>
          <w:color w:val="auto"/>
          <w:sz w:val="28"/>
          <w:szCs w:val="28"/>
          <w:highlight w:val="none"/>
        </w:rPr>
        <w:t>（2）法定代表人身份证复印件</w:t>
      </w:r>
    </w:p>
    <w:p w14:paraId="09EF1B80">
      <w:pPr>
        <w:spacing w:before="62" w:beforeLines="20" w:after="62" w:afterLines="20" w:line="360" w:lineRule="auto"/>
        <w:ind w:firstLine="3840" w:firstLineChars="1600"/>
        <w:rPr>
          <w:rFonts w:ascii="宋体" w:hAnsi="宋体" w:cs="仿宋"/>
          <w:color w:val="auto"/>
          <w:sz w:val="24"/>
          <w:highlight w:val="none"/>
        </w:rPr>
      </w:pPr>
    </w:p>
    <w:p w14:paraId="055CBD18">
      <w:pPr>
        <w:pStyle w:val="72"/>
        <w:ind w:firstLine="400"/>
        <w:rPr>
          <w:color w:val="auto"/>
          <w:highlight w:val="none"/>
        </w:rPr>
      </w:pPr>
    </w:p>
    <w:p w14:paraId="3653C74B">
      <w:pPr>
        <w:pStyle w:val="72"/>
        <w:ind w:firstLine="400"/>
        <w:rPr>
          <w:color w:val="auto"/>
          <w:highlight w:val="none"/>
        </w:rPr>
      </w:pPr>
    </w:p>
    <w:p w14:paraId="20B04E31">
      <w:pPr>
        <w:pStyle w:val="27"/>
        <w:spacing w:line="360" w:lineRule="auto"/>
        <w:jc w:val="center"/>
        <w:rPr>
          <w:rFonts w:hAnsi="宋体"/>
          <w:b/>
          <w:color w:val="auto"/>
          <w:sz w:val="28"/>
          <w:szCs w:val="28"/>
          <w:highlight w:val="none"/>
        </w:rPr>
      </w:pPr>
      <w:r>
        <w:rPr>
          <w:rFonts w:hint="eastAsia" w:hAnsi="宋体"/>
          <w:b/>
          <w:color w:val="auto"/>
          <w:sz w:val="28"/>
          <w:szCs w:val="28"/>
          <w:highlight w:val="none"/>
        </w:rPr>
        <w:t>（3）授权委托书</w:t>
      </w:r>
    </w:p>
    <w:p w14:paraId="01F8A3F6">
      <w:pPr>
        <w:pStyle w:val="22"/>
        <w:adjustRightInd w:val="0"/>
        <w:spacing w:before="62" w:beforeLines="20" w:after="62" w:afterLines="20" w:line="360" w:lineRule="auto"/>
        <w:ind w:firstLine="960" w:firstLineChars="400"/>
        <w:rPr>
          <w:rFonts w:ascii="宋体" w:hAnsi="宋体"/>
          <w:color w:val="auto"/>
          <w:sz w:val="24"/>
          <w:highlight w:val="none"/>
        </w:rPr>
      </w:pPr>
    </w:p>
    <w:p w14:paraId="6ECAD690">
      <w:pPr>
        <w:pStyle w:val="22"/>
        <w:adjustRightInd w:val="0"/>
        <w:spacing w:before="62" w:beforeLines="20" w:after="62" w:afterLines="20" w:line="360" w:lineRule="auto"/>
        <w:ind w:left="0" w:leftChars="0" w:firstLine="480" w:firstLineChars="200"/>
        <w:rPr>
          <w:rFonts w:ascii="宋体" w:hAnsi="宋体"/>
          <w:color w:val="auto"/>
          <w:sz w:val="24"/>
          <w:highlight w:val="none"/>
        </w:rPr>
      </w:pPr>
      <w:r>
        <w:rPr>
          <w:rFonts w:hint="eastAsia" w:ascii="宋体" w:hAnsi="宋体"/>
          <w:color w:val="auto"/>
          <w:sz w:val="24"/>
          <w:highlight w:val="none"/>
        </w:rPr>
        <w:t>本授权委托书声明：我</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（姓名）系 </w:t>
      </w:r>
      <w:r>
        <w:rPr>
          <w:rFonts w:hint="eastAsia" w:ascii="宋体" w:hAnsi="宋体"/>
          <w:color w:val="auto"/>
          <w:sz w:val="24"/>
          <w:highlight w:val="none"/>
          <w:u w:val="single"/>
        </w:rPr>
        <w:t>（投 标 人 名 称）</w:t>
      </w:r>
      <w:r>
        <w:rPr>
          <w:rFonts w:hint="eastAsia" w:ascii="宋体" w:hAnsi="宋体"/>
          <w:color w:val="auto"/>
          <w:sz w:val="24"/>
          <w:highlight w:val="none"/>
        </w:rPr>
        <w:t xml:space="preserve">的法定代表人，现授权委托 </w:t>
      </w:r>
      <w:r>
        <w:rPr>
          <w:rFonts w:hint="eastAsia" w:ascii="宋体" w:hAnsi="宋体"/>
          <w:color w:val="auto"/>
          <w:sz w:val="24"/>
          <w:highlight w:val="none"/>
          <w:u w:val="single"/>
        </w:rPr>
        <w:t xml:space="preserve">    （单位名称）         </w:t>
      </w:r>
      <w:r>
        <w:rPr>
          <w:rFonts w:hint="eastAsia" w:ascii="宋体" w:hAnsi="宋体"/>
          <w:color w:val="auto"/>
          <w:sz w:val="24"/>
          <w:highlight w:val="none"/>
        </w:rPr>
        <w:t xml:space="preserve"> 的 </w:t>
      </w:r>
      <w:r>
        <w:rPr>
          <w:rFonts w:hint="eastAsia" w:ascii="宋体" w:hAnsi="宋体"/>
          <w:color w:val="auto"/>
          <w:sz w:val="24"/>
          <w:highlight w:val="none"/>
          <w:u w:val="single"/>
        </w:rPr>
        <w:t xml:space="preserve">   （姓名）   </w:t>
      </w:r>
      <w:r>
        <w:rPr>
          <w:rFonts w:hint="eastAsia" w:ascii="宋体" w:hAnsi="宋体"/>
          <w:color w:val="auto"/>
          <w:sz w:val="24"/>
          <w:highlight w:val="none"/>
        </w:rPr>
        <w:t>为我公司的合法代理人，就</w:t>
      </w:r>
      <w:r>
        <w:rPr>
          <w:rFonts w:hint="eastAsia" w:ascii="宋体" w:hAnsi="宋体"/>
          <w:color w:val="auto"/>
          <w:sz w:val="24"/>
          <w:highlight w:val="none"/>
          <w:u w:val="single"/>
        </w:rPr>
        <w:t xml:space="preserve">                     </w:t>
      </w:r>
      <w:r>
        <w:rPr>
          <w:rFonts w:hint="eastAsia" w:ascii="宋体" w:hAnsi="宋体"/>
          <w:color w:val="auto"/>
          <w:sz w:val="24"/>
          <w:highlight w:val="none"/>
        </w:rPr>
        <w:t>（合同名称）的投标、施工、竣工和保修，以本公司的名义签署投标书，解释投标文件，进行谈判、签署合同和处理与之有关的一切事宜。</w:t>
      </w:r>
    </w:p>
    <w:p w14:paraId="73E09920">
      <w:pPr>
        <w:pStyle w:val="20"/>
        <w:spacing w:before="62" w:beforeLines="20" w:after="62" w:afterLines="20" w:line="360" w:lineRule="auto"/>
        <w:ind w:left="0" w:leftChars="0" w:firstLine="480" w:firstLineChars="200"/>
        <w:rPr>
          <w:color w:val="auto"/>
          <w:sz w:val="24"/>
          <w:highlight w:val="none"/>
        </w:rPr>
      </w:pPr>
      <w:r>
        <w:rPr>
          <w:color w:val="auto"/>
          <w:sz w:val="24"/>
          <w:highlight w:val="none"/>
        </w:rPr>
        <w:t>代理人无转委托权，特此委托。</w:t>
      </w:r>
    </w:p>
    <w:p w14:paraId="1F28CEDA">
      <w:pPr>
        <w:spacing w:before="62" w:beforeLines="20" w:after="62" w:afterLines="20" w:line="360" w:lineRule="auto"/>
        <w:ind w:left="1260"/>
        <w:rPr>
          <w:rFonts w:ascii="宋体" w:hAnsi="宋体"/>
          <w:color w:val="auto"/>
          <w:sz w:val="24"/>
          <w:highlight w:val="none"/>
        </w:rPr>
      </w:pPr>
    </w:p>
    <w:p w14:paraId="7FCB2F96">
      <w:pPr>
        <w:spacing w:before="62" w:beforeLines="20" w:after="62" w:afterLines="20"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代  理  人：</w:t>
      </w:r>
      <w:r>
        <w:rPr>
          <w:rFonts w:hint="eastAsia" w:ascii="宋体" w:hAnsi="宋体"/>
          <w:color w:val="auto"/>
          <w:sz w:val="24"/>
          <w:highlight w:val="none"/>
          <w:u w:val="single"/>
        </w:rPr>
        <w:t xml:space="preserve">             </w:t>
      </w:r>
      <w:r>
        <w:rPr>
          <w:rFonts w:hint="eastAsia" w:ascii="宋体" w:hAnsi="宋体"/>
          <w:color w:val="auto"/>
          <w:sz w:val="24"/>
          <w:highlight w:val="none"/>
        </w:rPr>
        <w:t>性别 ：</w:t>
      </w:r>
      <w:r>
        <w:rPr>
          <w:rFonts w:hint="eastAsia" w:ascii="宋体" w:hAnsi="宋体"/>
          <w:color w:val="auto"/>
          <w:sz w:val="24"/>
          <w:highlight w:val="none"/>
          <w:u w:val="single"/>
        </w:rPr>
        <w:t xml:space="preserve">            </w:t>
      </w:r>
      <w:r>
        <w:rPr>
          <w:rFonts w:hint="eastAsia" w:ascii="宋体" w:hAnsi="宋体"/>
          <w:color w:val="auto"/>
          <w:sz w:val="24"/>
          <w:highlight w:val="none"/>
        </w:rPr>
        <w:t>年龄：</w:t>
      </w:r>
      <w:r>
        <w:rPr>
          <w:rFonts w:hint="eastAsia" w:ascii="宋体" w:hAnsi="宋体"/>
          <w:color w:val="auto"/>
          <w:sz w:val="24"/>
          <w:highlight w:val="none"/>
          <w:u w:val="single"/>
        </w:rPr>
        <w:t xml:space="preserve">         </w:t>
      </w:r>
    </w:p>
    <w:p w14:paraId="28E82DBC">
      <w:pPr>
        <w:spacing w:before="62" w:beforeLines="20" w:after="62" w:afterLines="20" w:line="360" w:lineRule="auto"/>
        <w:ind w:left="2699"/>
        <w:rPr>
          <w:rFonts w:ascii="宋体" w:hAnsi="宋体"/>
          <w:color w:val="auto"/>
          <w:sz w:val="24"/>
          <w:highlight w:val="none"/>
        </w:rPr>
      </w:pPr>
    </w:p>
    <w:p w14:paraId="79DC2A2F">
      <w:pPr>
        <w:spacing w:before="62" w:beforeLines="20" w:after="62" w:afterLines="20"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身份证号码：</w:t>
      </w:r>
      <w:r>
        <w:rPr>
          <w:rFonts w:hint="eastAsia" w:ascii="宋体" w:hAnsi="宋体"/>
          <w:color w:val="auto"/>
          <w:sz w:val="24"/>
          <w:highlight w:val="none"/>
          <w:u w:val="single"/>
        </w:rPr>
        <w:t xml:space="preserve">                    </w:t>
      </w:r>
      <w:r>
        <w:rPr>
          <w:rFonts w:hint="eastAsia" w:ascii="宋体" w:hAnsi="宋体"/>
          <w:color w:val="auto"/>
          <w:sz w:val="24"/>
          <w:highlight w:val="none"/>
        </w:rPr>
        <w:t>手机号码 ：</w:t>
      </w:r>
      <w:r>
        <w:rPr>
          <w:rFonts w:hint="eastAsia" w:ascii="宋体" w:hAnsi="宋体"/>
          <w:color w:val="auto"/>
          <w:sz w:val="24"/>
          <w:highlight w:val="none"/>
          <w:u w:val="single"/>
        </w:rPr>
        <w:t xml:space="preserve">                      </w:t>
      </w:r>
    </w:p>
    <w:p w14:paraId="005D17FF">
      <w:pPr>
        <w:spacing w:before="62" w:beforeLines="20" w:after="62" w:afterLines="20" w:line="360" w:lineRule="auto"/>
        <w:ind w:left="2699"/>
        <w:rPr>
          <w:rFonts w:ascii="宋体" w:hAnsi="宋体"/>
          <w:color w:val="auto"/>
          <w:sz w:val="24"/>
          <w:highlight w:val="none"/>
        </w:rPr>
      </w:pPr>
    </w:p>
    <w:p w14:paraId="7E1F15E5">
      <w:pPr>
        <w:spacing w:before="62" w:beforeLines="20" w:after="62" w:afterLines="20" w:line="360" w:lineRule="auto"/>
        <w:ind w:firstLine="480" w:firstLineChars="200"/>
        <w:rPr>
          <w:rFonts w:ascii="宋体" w:hAnsi="宋体"/>
          <w:color w:val="auto"/>
          <w:sz w:val="24"/>
          <w:highlight w:val="none"/>
        </w:rPr>
      </w:pPr>
      <w:r>
        <w:rPr>
          <w:rFonts w:hint="eastAsia" w:ascii="宋体" w:hAnsi="宋体"/>
          <w:color w:val="auto"/>
          <w:sz w:val="24"/>
          <w:highlight w:val="none"/>
        </w:rPr>
        <w:t>投  标  人：</w:t>
      </w:r>
      <w:r>
        <w:rPr>
          <w:rFonts w:hint="eastAsia" w:ascii="宋体" w:hAnsi="宋体"/>
          <w:color w:val="auto"/>
          <w:sz w:val="24"/>
          <w:highlight w:val="none"/>
          <w:u w:val="single"/>
        </w:rPr>
        <w:t xml:space="preserve">                              </w:t>
      </w:r>
      <w:r>
        <w:rPr>
          <w:rFonts w:hint="eastAsia" w:ascii="宋体" w:hAnsi="宋体"/>
          <w:b/>
          <w:bCs/>
          <w:color w:val="auto"/>
          <w:sz w:val="24"/>
          <w:highlight w:val="none"/>
          <w:u w:val="single"/>
        </w:rPr>
        <w:t>（盖章）</w:t>
      </w:r>
    </w:p>
    <w:p w14:paraId="591E84A4">
      <w:pPr>
        <w:spacing w:before="62" w:beforeLines="20" w:after="62" w:afterLines="20" w:line="360" w:lineRule="auto"/>
        <w:rPr>
          <w:rFonts w:ascii="宋体" w:hAnsi="宋体"/>
          <w:color w:val="auto"/>
          <w:sz w:val="24"/>
          <w:highlight w:val="none"/>
        </w:rPr>
      </w:pPr>
    </w:p>
    <w:p w14:paraId="0723D2FD">
      <w:pPr>
        <w:spacing w:before="62" w:beforeLines="20" w:after="62" w:afterLines="20" w:line="360" w:lineRule="auto"/>
        <w:ind w:firstLine="480" w:firstLineChars="200"/>
        <w:rPr>
          <w:rFonts w:ascii="宋体" w:hAnsi="宋体"/>
          <w:color w:val="auto"/>
          <w:sz w:val="24"/>
          <w:highlight w:val="none"/>
        </w:rPr>
      </w:pPr>
      <w:r>
        <w:rPr>
          <w:rFonts w:hint="eastAsia" w:ascii="宋体" w:hAnsi="宋体"/>
          <w:color w:val="auto"/>
          <w:sz w:val="24"/>
          <w:highlight w:val="none"/>
        </w:rPr>
        <w:t>法定代表人：</w:t>
      </w:r>
      <w:r>
        <w:rPr>
          <w:rFonts w:hint="eastAsia" w:ascii="宋体" w:hAnsi="宋体"/>
          <w:color w:val="auto"/>
          <w:sz w:val="24"/>
          <w:highlight w:val="none"/>
          <w:u w:val="single"/>
        </w:rPr>
        <w:t xml:space="preserve">                           （签字或</w:t>
      </w:r>
      <w:r>
        <w:rPr>
          <w:rFonts w:hint="eastAsia" w:ascii="宋体" w:hAnsi="宋体"/>
          <w:b/>
          <w:bCs/>
          <w:color w:val="auto"/>
          <w:sz w:val="24"/>
          <w:highlight w:val="none"/>
          <w:u w:val="single"/>
        </w:rPr>
        <w:t>盖章）</w:t>
      </w:r>
    </w:p>
    <w:p w14:paraId="74C6A1CA">
      <w:pPr>
        <w:spacing w:before="62" w:beforeLines="20" w:after="62" w:afterLines="20" w:line="360" w:lineRule="auto"/>
        <w:ind w:left="3238" w:leftChars="1349" w:firstLine="2400" w:firstLineChars="1000"/>
        <w:rPr>
          <w:rFonts w:ascii="宋体" w:hAnsi="宋体"/>
          <w:color w:val="auto"/>
          <w:sz w:val="24"/>
          <w:highlight w:val="none"/>
        </w:rPr>
      </w:pPr>
    </w:p>
    <w:p w14:paraId="3BA7B970">
      <w:pPr>
        <w:pStyle w:val="27"/>
        <w:spacing w:line="360" w:lineRule="auto"/>
        <w:jc w:val="center"/>
        <w:rPr>
          <w:rFonts w:hAnsi="宋体"/>
          <w:color w:val="auto"/>
          <w:sz w:val="24"/>
          <w:szCs w:val="24"/>
          <w:highlight w:val="none"/>
        </w:rPr>
      </w:pPr>
      <w:bookmarkStart w:id="180" w:name="_Toc171581549"/>
      <w:bookmarkStart w:id="181" w:name="_Toc171581369"/>
      <w:bookmarkStart w:id="182" w:name="_Toc171741992"/>
      <w:r>
        <w:rPr>
          <w:rFonts w:hint="eastAsia" w:hAnsi="宋体"/>
          <w:color w:val="auto"/>
          <w:sz w:val="24"/>
          <w:szCs w:val="24"/>
          <w:highlight w:val="none"/>
        </w:rPr>
        <w:t xml:space="preserve">                                授权委托日期：     年     月     日</w:t>
      </w:r>
      <w:bookmarkEnd w:id="180"/>
      <w:bookmarkEnd w:id="181"/>
      <w:bookmarkEnd w:id="182"/>
    </w:p>
    <w:p w14:paraId="2F1EC81F">
      <w:pPr>
        <w:spacing w:before="62" w:beforeLines="20" w:after="62" w:afterLines="20" w:line="360" w:lineRule="auto"/>
        <w:ind w:left="3238" w:leftChars="1349" w:firstLine="2400" w:firstLineChars="1000"/>
        <w:rPr>
          <w:rFonts w:ascii="宋体" w:hAnsi="宋体"/>
          <w:color w:val="auto"/>
          <w:sz w:val="24"/>
          <w:highlight w:val="none"/>
        </w:rPr>
      </w:pPr>
    </w:p>
    <w:p w14:paraId="55BE4B85">
      <w:pPr>
        <w:pStyle w:val="27"/>
        <w:spacing w:line="360" w:lineRule="auto"/>
        <w:ind w:firstLine="562" w:firstLineChars="200"/>
        <w:jc w:val="left"/>
        <w:rPr>
          <w:rFonts w:ascii="仿宋" w:hAnsi="仿宋" w:eastAsia="仿宋"/>
          <w:b/>
          <w:bCs/>
          <w:color w:val="auto"/>
          <w:sz w:val="28"/>
          <w:szCs w:val="28"/>
          <w:highlight w:val="none"/>
        </w:rPr>
      </w:pPr>
      <w:r>
        <w:rPr>
          <w:rFonts w:hint="eastAsia" w:ascii="仿宋" w:hAnsi="仿宋" w:eastAsia="仿宋"/>
          <w:b/>
          <w:bCs/>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2759781C">
      <w:pPr>
        <w:pStyle w:val="49"/>
        <w:spacing w:line="360" w:lineRule="auto"/>
        <w:jc w:val="center"/>
        <w:rPr>
          <w:rFonts w:ascii="宋体" w:hAnsi="宋体" w:cs="仿宋"/>
          <w:b/>
          <w:color w:val="auto"/>
          <w:kern w:val="2"/>
          <w:sz w:val="28"/>
          <w:szCs w:val="28"/>
          <w:highlight w:val="none"/>
        </w:rPr>
      </w:pPr>
    </w:p>
    <w:p w14:paraId="3225CE93">
      <w:pPr>
        <w:pStyle w:val="49"/>
        <w:numPr>
          <w:ilvl w:val="0"/>
          <w:numId w:val="7"/>
        </w:numPr>
        <w:spacing w:line="360" w:lineRule="auto"/>
        <w:jc w:val="center"/>
        <w:rPr>
          <w:rFonts w:hint="eastAsia" w:hAnsi="宋体"/>
          <w:b/>
          <w:color w:val="auto"/>
          <w:sz w:val="28"/>
          <w:szCs w:val="28"/>
          <w:highlight w:val="none"/>
        </w:rPr>
      </w:pPr>
      <w:r>
        <w:rPr>
          <w:rFonts w:hint="eastAsia" w:hAnsi="宋体"/>
          <w:b/>
          <w:color w:val="auto"/>
          <w:sz w:val="28"/>
          <w:szCs w:val="28"/>
          <w:highlight w:val="none"/>
        </w:rPr>
        <w:t>授权委托人身份证复印件</w:t>
      </w:r>
    </w:p>
    <w:p w14:paraId="3C16C0CA">
      <w:pPr>
        <w:pStyle w:val="49"/>
        <w:numPr>
          <w:ilvl w:val="0"/>
          <w:numId w:val="0"/>
        </w:numPr>
        <w:spacing w:line="360" w:lineRule="auto"/>
        <w:ind w:right="0" w:rightChars="0"/>
        <w:jc w:val="both"/>
        <w:rPr>
          <w:rFonts w:hint="eastAsia" w:hAnsi="宋体"/>
          <w:b/>
          <w:color w:val="auto"/>
          <w:sz w:val="28"/>
          <w:szCs w:val="28"/>
          <w:highlight w:val="none"/>
        </w:rPr>
      </w:pPr>
    </w:p>
    <w:p w14:paraId="14204E3D">
      <w:pPr>
        <w:pStyle w:val="49"/>
        <w:numPr>
          <w:ilvl w:val="0"/>
          <w:numId w:val="7"/>
        </w:numPr>
        <w:spacing w:line="360" w:lineRule="auto"/>
        <w:jc w:val="center"/>
        <w:rPr>
          <w:rFonts w:hint="eastAsia" w:hAnsi="宋体"/>
          <w:b/>
          <w:color w:val="auto"/>
          <w:sz w:val="28"/>
          <w:szCs w:val="28"/>
          <w:highlight w:val="none"/>
        </w:rPr>
      </w:pPr>
      <w:r>
        <w:rPr>
          <w:rFonts w:hint="eastAsia" w:hAnsi="宋体"/>
          <w:b/>
          <w:color w:val="auto"/>
          <w:sz w:val="28"/>
          <w:szCs w:val="28"/>
          <w:highlight w:val="none"/>
        </w:rPr>
        <w:t>企业营业执照扫描件</w:t>
      </w:r>
    </w:p>
    <w:p w14:paraId="6045A911">
      <w:pPr>
        <w:pStyle w:val="49"/>
        <w:widowControl w:val="0"/>
        <w:numPr>
          <w:ilvl w:val="0"/>
          <w:numId w:val="0"/>
        </w:numPr>
        <w:spacing w:before="100" w:beforeAutospacing="1" w:after="100" w:afterAutospacing="1" w:line="360" w:lineRule="auto"/>
        <w:ind w:right="0" w:rightChars="0"/>
        <w:jc w:val="center"/>
        <w:rPr>
          <w:rFonts w:hint="eastAsia" w:hAnsi="宋体"/>
          <w:b/>
          <w:color w:val="auto"/>
          <w:sz w:val="28"/>
          <w:szCs w:val="28"/>
          <w:highlight w:val="none"/>
        </w:rPr>
      </w:pPr>
    </w:p>
    <w:p w14:paraId="7E09668E">
      <w:pPr>
        <w:pStyle w:val="49"/>
        <w:widowControl w:val="0"/>
        <w:numPr>
          <w:ilvl w:val="0"/>
          <w:numId w:val="0"/>
        </w:numPr>
        <w:spacing w:before="100" w:beforeAutospacing="1" w:after="100" w:afterAutospacing="1" w:line="360" w:lineRule="auto"/>
        <w:ind w:right="0" w:rightChars="0"/>
        <w:jc w:val="center"/>
        <w:rPr>
          <w:rFonts w:hint="eastAsia" w:hAnsi="宋体"/>
          <w:b/>
          <w:color w:val="auto"/>
          <w:sz w:val="28"/>
          <w:szCs w:val="28"/>
          <w:highlight w:val="none"/>
        </w:rPr>
      </w:pPr>
    </w:p>
    <w:p w14:paraId="491A0A85">
      <w:pPr>
        <w:pStyle w:val="49"/>
        <w:widowControl w:val="0"/>
        <w:numPr>
          <w:ilvl w:val="0"/>
          <w:numId w:val="0"/>
        </w:numPr>
        <w:spacing w:before="100" w:beforeAutospacing="1" w:after="100" w:afterAutospacing="1" w:line="360" w:lineRule="auto"/>
        <w:ind w:right="0" w:rightChars="0"/>
        <w:jc w:val="center"/>
        <w:rPr>
          <w:rFonts w:hint="eastAsia" w:hAnsi="宋体"/>
          <w:b/>
          <w:color w:val="auto"/>
          <w:sz w:val="28"/>
          <w:szCs w:val="28"/>
          <w:highlight w:val="none"/>
        </w:rPr>
      </w:pPr>
    </w:p>
    <w:p w14:paraId="02012059">
      <w:pPr>
        <w:pStyle w:val="49"/>
        <w:numPr>
          <w:ilvl w:val="0"/>
          <w:numId w:val="7"/>
        </w:numPr>
        <w:spacing w:line="360" w:lineRule="auto"/>
        <w:jc w:val="center"/>
        <w:rPr>
          <w:rFonts w:hint="eastAsia" w:hAnsi="宋体"/>
          <w:b/>
          <w:color w:val="auto"/>
          <w:sz w:val="28"/>
          <w:szCs w:val="28"/>
          <w:highlight w:val="none"/>
        </w:rPr>
      </w:pPr>
      <w:r>
        <w:rPr>
          <w:rFonts w:hint="eastAsia" w:hAnsi="宋体"/>
          <w:b/>
          <w:color w:val="auto"/>
          <w:sz w:val="28"/>
          <w:szCs w:val="28"/>
          <w:highlight w:val="none"/>
        </w:rPr>
        <w:t>企业资质证书扫描件</w:t>
      </w:r>
    </w:p>
    <w:p w14:paraId="4E38FFB5">
      <w:pPr>
        <w:pStyle w:val="49"/>
        <w:numPr>
          <w:ilvl w:val="0"/>
          <w:numId w:val="0"/>
        </w:numPr>
        <w:spacing w:line="360" w:lineRule="auto"/>
        <w:ind w:right="0" w:rightChars="0"/>
        <w:jc w:val="both"/>
        <w:rPr>
          <w:rFonts w:hint="eastAsia" w:hAnsi="宋体"/>
          <w:b/>
          <w:color w:val="auto"/>
          <w:sz w:val="28"/>
          <w:szCs w:val="28"/>
          <w:highlight w:val="none"/>
        </w:rPr>
      </w:pPr>
    </w:p>
    <w:p w14:paraId="65420C94">
      <w:pPr>
        <w:pStyle w:val="49"/>
        <w:spacing w:line="360" w:lineRule="auto"/>
        <w:jc w:val="center"/>
        <w:rPr>
          <w:rFonts w:hint="eastAsia" w:hAnsi="宋体"/>
          <w:b/>
          <w:color w:val="auto"/>
          <w:sz w:val="28"/>
          <w:szCs w:val="28"/>
          <w:highlight w:val="none"/>
        </w:rPr>
      </w:pPr>
      <w:r>
        <w:rPr>
          <w:rFonts w:hint="eastAsia" w:hAnsi="宋体"/>
          <w:b/>
          <w:color w:val="auto"/>
          <w:sz w:val="28"/>
          <w:szCs w:val="28"/>
          <w:highlight w:val="none"/>
        </w:rPr>
        <w:br w:type="page"/>
      </w:r>
      <w:r>
        <w:rPr>
          <w:rFonts w:hint="eastAsia" w:hAnsi="宋体"/>
          <w:b/>
          <w:color w:val="auto"/>
          <w:sz w:val="28"/>
          <w:szCs w:val="28"/>
          <w:highlight w:val="none"/>
        </w:rPr>
        <w:t>（7）项目负责人证书、社保扫描件</w:t>
      </w:r>
    </w:p>
    <w:p w14:paraId="2DE958B0">
      <w:pPr>
        <w:pStyle w:val="49"/>
        <w:spacing w:line="360" w:lineRule="auto"/>
        <w:jc w:val="center"/>
        <w:rPr>
          <w:rFonts w:ascii="宋体" w:hAnsi="宋体" w:cs="仿宋"/>
          <w:b/>
          <w:color w:val="auto"/>
          <w:sz w:val="28"/>
          <w:szCs w:val="28"/>
          <w:highlight w:val="none"/>
        </w:rPr>
      </w:pPr>
      <w:r>
        <w:rPr>
          <w:rFonts w:hint="eastAsia" w:ascii="宋体" w:hAnsi="宋体" w:cs="仿宋"/>
          <w:b/>
          <w:color w:val="auto"/>
          <w:kern w:val="2"/>
          <w:sz w:val="28"/>
          <w:szCs w:val="28"/>
          <w:highlight w:val="none"/>
        </w:rPr>
        <w:t>拟担任项目负责人简历表</w:t>
      </w:r>
    </w:p>
    <w:p w14:paraId="27DEE5D3">
      <w:pPr>
        <w:pStyle w:val="49"/>
        <w:spacing w:line="360" w:lineRule="auto"/>
        <w:ind w:firstLine="562" w:firstLineChars="200"/>
        <w:jc w:val="center"/>
        <w:rPr>
          <w:rFonts w:ascii="宋体" w:hAnsi="宋体" w:cs="仿宋"/>
          <w:b/>
          <w:color w:val="auto"/>
          <w:sz w:val="28"/>
          <w:szCs w:val="28"/>
          <w:highlight w:val="none"/>
        </w:rPr>
      </w:pPr>
    </w:p>
    <w:tbl>
      <w:tblPr>
        <w:tblStyle w:val="5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1207"/>
        <w:gridCol w:w="1088"/>
        <w:gridCol w:w="1057"/>
        <w:gridCol w:w="746"/>
        <w:gridCol w:w="557"/>
        <w:gridCol w:w="2048"/>
      </w:tblGrid>
      <w:tr w14:paraId="54BB4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73" w:type="dxa"/>
            <w:tcBorders>
              <w:top w:val="single" w:color="auto" w:sz="4" w:space="0"/>
              <w:left w:val="single" w:color="auto" w:sz="4" w:space="0"/>
              <w:bottom w:val="single" w:color="auto" w:sz="4" w:space="0"/>
              <w:right w:val="single" w:color="auto" w:sz="4" w:space="0"/>
            </w:tcBorders>
            <w:noWrap w:val="0"/>
            <w:vAlign w:val="center"/>
          </w:tcPr>
          <w:p w14:paraId="41B6D3CA">
            <w:pPr>
              <w:jc w:val="center"/>
              <w:rPr>
                <w:rFonts w:ascii="宋体" w:hAnsi="宋体" w:cs="宋体"/>
                <w:color w:val="auto"/>
                <w:sz w:val="24"/>
                <w:highlight w:val="none"/>
              </w:rPr>
            </w:pPr>
            <w:r>
              <w:rPr>
                <w:rFonts w:hint="eastAsia" w:ascii="宋体" w:hAnsi="宋体" w:cs="宋体"/>
                <w:color w:val="auto"/>
                <w:sz w:val="24"/>
                <w:highlight w:val="none"/>
              </w:rPr>
              <w:t>姓  名</w:t>
            </w:r>
          </w:p>
        </w:tc>
        <w:tc>
          <w:tcPr>
            <w:tcW w:w="1207" w:type="dxa"/>
            <w:tcBorders>
              <w:top w:val="single" w:color="auto" w:sz="4" w:space="0"/>
              <w:left w:val="single" w:color="auto" w:sz="4" w:space="0"/>
              <w:bottom w:val="single" w:color="auto" w:sz="4" w:space="0"/>
              <w:right w:val="single" w:color="auto" w:sz="4" w:space="0"/>
            </w:tcBorders>
            <w:noWrap w:val="0"/>
            <w:vAlign w:val="center"/>
          </w:tcPr>
          <w:p w14:paraId="405508E0">
            <w:pPr>
              <w:jc w:val="center"/>
              <w:rPr>
                <w:rFonts w:ascii="宋体" w:hAnsi="宋体" w:cs="宋体"/>
                <w:color w:val="auto"/>
                <w:sz w:val="24"/>
                <w:highlight w:val="none"/>
              </w:rPr>
            </w:pPr>
          </w:p>
        </w:tc>
        <w:tc>
          <w:tcPr>
            <w:tcW w:w="1088" w:type="dxa"/>
            <w:tcBorders>
              <w:top w:val="single" w:color="auto" w:sz="4" w:space="0"/>
              <w:left w:val="single" w:color="auto" w:sz="4" w:space="0"/>
              <w:bottom w:val="single" w:color="auto" w:sz="4" w:space="0"/>
              <w:right w:val="single" w:color="auto" w:sz="4" w:space="0"/>
            </w:tcBorders>
            <w:noWrap w:val="0"/>
            <w:vAlign w:val="center"/>
          </w:tcPr>
          <w:p w14:paraId="453976D2">
            <w:pPr>
              <w:jc w:val="center"/>
              <w:rPr>
                <w:rFonts w:ascii="宋体" w:hAnsi="宋体" w:cs="宋体"/>
                <w:color w:val="auto"/>
                <w:sz w:val="24"/>
                <w:highlight w:val="none"/>
              </w:rPr>
            </w:pPr>
            <w:r>
              <w:rPr>
                <w:rFonts w:hint="eastAsia" w:ascii="宋体" w:hAnsi="宋体" w:cs="宋体"/>
                <w:color w:val="auto"/>
                <w:sz w:val="24"/>
                <w:highlight w:val="none"/>
              </w:rPr>
              <w:t>性别</w:t>
            </w:r>
          </w:p>
        </w:tc>
        <w:tc>
          <w:tcPr>
            <w:tcW w:w="1057" w:type="dxa"/>
            <w:tcBorders>
              <w:top w:val="single" w:color="auto" w:sz="4" w:space="0"/>
              <w:left w:val="single" w:color="auto" w:sz="4" w:space="0"/>
              <w:bottom w:val="single" w:color="auto" w:sz="4" w:space="0"/>
              <w:right w:val="single" w:color="auto" w:sz="4" w:space="0"/>
            </w:tcBorders>
            <w:noWrap w:val="0"/>
            <w:vAlign w:val="center"/>
          </w:tcPr>
          <w:p w14:paraId="6EAB44BF">
            <w:pPr>
              <w:jc w:val="center"/>
              <w:rPr>
                <w:rFonts w:ascii="宋体" w:hAnsi="宋体" w:cs="宋体"/>
                <w:color w:val="auto"/>
                <w:sz w:val="24"/>
                <w:highlight w:val="none"/>
              </w:rPr>
            </w:pPr>
          </w:p>
        </w:tc>
        <w:tc>
          <w:tcPr>
            <w:tcW w:w="1303" w:type="dxa"/>
            <w:gridSpan w:val="2"/>
            <w:tcBorders>
              <w:top w:val="single" w:color="auto" w:sz="4" w:space="0"/>
              <w:left w:val="single" w:color="auto" w:sz="4" w:space="0"/>
              <w:bottom w:val="single" w:color="auto" w:sz="4" w:space="0"/>
              <w:right w:val="single" w:color="auto" w:sz="4" w:space="0"/>
            </w:tcBorders>
            <w:noWrap w:val="0"/>
            <w:vAlign w:val="center"/>
          </w:tcPr>
          <w:p w14:paraId="61C21461">
            <w:pPr>
              <w:jc w:val="center"/>
              <w:rPr>
                <w:rFonts w:ascii="宋体" w:hAnsi="宋体" w:cs="宋体"/>
                <w:color w:val="auto"/>
                <w:sz w:val="24"/>
                <w:highlight w:val="none"/>
              </w:rPr>
            </w:pPr>
            <w:r>
              <w:rPr>
                <w:rFonts w:hint="eastAsia" w:ascii="宋体" w:hAnsi="宋体" w:cs="宋体"/>
                <w:color w:val="auto"/>
                <w:sz w:val="24"/>
                <w:highlight w:val="none"/>
              </w:rPr>
              <w:t>出生日期</w:t>
            </w:r>
          </w:p>
        </w:tc>
        <w:tc>
          <w:tcPr>
            <w:tcW w:w="2048" w:type="dxa"/>
            <w:tcBorders>
              <w:top w:val="single" w:color="auto" w:sz="4" w:space="0"/>
              <w:left w:val="single" w:color="auto" w:sz="4" w:space="0"/>
              <w:bottom w:val="single" w:color="auto" w:sz="4" w:space="0"/>
              <w:right w:val="single" w:color="auto" w:sz="4" w:space="0"/>
            </w:tcBorders>
            <w:noWrap w:val="0"/>
            <w:vAlign w:val="center"/>
          </w:tcPr>
          <w:p w14:paraId="2B62B423">
            <w:pPr>
              <w:jc w:val="center"/>
              <w:rPr>
                <w:rFonts w:ascii="宋体" w:hAnsi="宋体" w:cs="宋体"/>
                <w:color w:val="auto"/>
                <w:sz w:val="24"/>
                <w:highlight w:val="none"/>
              </w:rPr>
            </w:pPr>
            <w:r>
              <w:rPr>
                <w:rFonts w:hint="eastAsia" w:ascii="宋体" w:hAnsi="宋体" w:cs="宋体"/>
                <w:color w:val="auto"/>
                <w:sz w:val="24"/>
                <w:highlight w:val="none"/>
              </w:rPr>
              <w:t>年  月   日</w:t>
            </w:r>
          </w:p>
        </w:tc>
      </w:tr>
      <w:tr w14:paraId="08AC2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73" w:type="dxa"/>
            <w:tcBorders>
              <w:top w:val="single" w:color="auto" w:sz="4" w:space="0"/>
              <w:left w:val="single" w:color="auto" w:sz="4" w:space="0"/>
              <w:bottom w:val="single" w:color="auto" w:sz="4" w:space="0"/>
              <w:right w:val="single" w:color="auto" w:sz="4" w:space="0"/>
            </w:tcBorders>
            <w:noWrap w:val="0"/>
            <w:vAlign w:val="center"/>
          </w:tcPr>
          <w:p w14:paraId="2BB1BC68">
            <w:pPr>
              <w:jc w:val="center"/>
              <w:rPr>
                <w:rFonts w:ascii="宋体" w:hAnsi="宋体" w:cs="宋体"/>
                <w:color w:val="auto"/>
                <w:sz w:val="24"/>
                <w:highlight w:val="none"/>
              </w:rPr>
            </w:pPr>
            <w:r>
              <w:rPr>
                <w:rFonts w:hint="eastAsia" w:ascii="宋体" w:hAnsi="宋体" w:cs="宋体"/>
                <w:color w:val="auto"/>
                <w:sz w:val="24"/>
                <w:highlight w:val="none"/>
              </w:rPr>
              <w:t>毕业院校专业</w:t>
            </w:r>
          </w:p>
        </w:tc>
        <w:tc>
          <w:tcPr>
            <w:tcW w:w="3352" w:type="dxa"/>
            <w:gridSpan w:val="3"/>
            <w:tcBorders>
              <w:top w:val="single" w:color="auto" w:sz="4" w:space="0"/>
              <w:left w:val="single" w:color="auto" w:sz="4" w:space="0"/>
              <w:bottom w:val="single" w:color="auto" w:sz="4" w:space="0"/>
              <w:right w:val="single" w:color="auto" w:sz="4" w:space="0"/>
            </w:tcBorders>
            <w:noWrap w:val="0"/>
            <w:vAlign w:val="center"/>
          </w:tcPr>
          <w:p w14:paraId="4A8F2D59">
            <w:pPr>
              <w:jc w:val="center"/>
              <w:rPr>
                <w:rFonts w:ascii="宋体" w:hAnsi="宋体" w:cs="宋体"/>
                <w:color w:val="auto"/>
                <w:sz w:val="24"/>
                <w:highlight w:val="none"/>
              </w:rPr>
            </w:pPr>
          </w:p>
        </w:tc>
        <w:tc>
          <w:tcPr>
            <w:tcW w:w="1303" w:type="dxa"/>
            <w:gridSpan w:val="2"/>
            <w:tcBorders>
              <w:top w:val="single" w:color="auto" w:sz="4" w:space="0"/>
              <w:left w:val="single" w:color="auto" w:sz="4" w:space="0"/>
              <w:bottom w:val="single" w:color="auto" w:sz="4" w:space="0"/>
              <w:right w:val="single" w:color="auto" w:sz="4" w:space="0"/>
            </w:tcBorders>
            <w:noWrap w:val="0"/>
            <w:vAlign w:val="center"/>
          </w:tcPr>
          <w:p w14:paraId="6E1F5AFC">
            <w:pPr>
              <w:jc w:val="center"/>
              <w:rPr>
                <w:rFonts w:ascii="宋体" w:hAnsi="宋体" w:cs="宋体"/>
                <w:color w:val="auto"/>
                <w:sz w:val="24"/>
                <w:highlight w:val="none"/>
              </w:rPr>
            </w:pPr>
            <w:r>
              <w:rPr>
                <w:rFonts w:hint="eastAsia" w:ascii="宋体" w:hAnsi="宋体" w:cs="宋体"/>
                <w:color w:val="auto"/>
                <w:sz w:val="24"/>
                <w:highlight w:val="none"/>
              </w:rPr>
              <w:t>毕业时间</w:t>
            </w:r>
          </w:p>
        </w:tc>
        <w:tc>
          <w:tcPr>
            <w:tcW w:w="2048" w:type="dxa"/>
            <w:tcBorders>
              <w:top w:val="single" w:color="auto" w:sz="4" w:space="0"/>
              <w:left w:val="single" w:color="auto" w:sz="4" w:space="0"/>
              <w:bottom w:val="single" w:color="auto" w:sz="4" w:space="0"/>
              <w:right w:val="single" w:color="auto" w:sz="4" w:space="0"/>
            </w:tcBorders>
            <w:noWrap w:val="0"/>
            <w:vAlign w:val="center"/>
          </w:tcPr>
          <w:p w14:paraId="13DEE7F2">
            <w:pPr>
              <w:ind w:firstLine="480" w:firstLineChars="200"/>
              <w:rPr>
                <w:rFonts w:ascii="宋体" w:hAnsi="宋体" w:cs="宋体"/>
                <w:color w:val="auto"/>
                <w:sz w:val="24"/>
                <w:highlight w:val="none"/>
              </w:rPr>
            </w:pPr>
            <w:r>
              <w:rPr>
                <w:rFonts w:hint="eastAsia" w:ascii="宋体" w:hAnsi="宋体" w:cs="宋体"/>
                <w:color w:val="auto"/>
                <w:sz w:val="24"/>
                <w:highlight w:val="none"/>
              </w:rPr>
              <w:t>年  月   日</w:t>
            </w:r>
          </w:p>
        </w:tc>
      </w:tr>
      <w:tr w14:paraId="35E5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73" w:type="dxa"/>
            <w:tcBorders>
              <w:top w:val="single" w:color="auto" w:sz="4" w:space="0"/>
              <w:left w:val="single" w:color="auto" w:sz="4" w:space="0"/>
              <w:bottom w:val="single" w:color="auto" w:sz="4" w:space="0"/>
              <w:right w:val="single" w:color="auto" w:sz="4" w:space="0"/>
            </w:tcBorders>
            <w:noWrap w:val="0"/>
            <w:vAlign w:val="center"/>
          </w:tcPr>
          <w:p w14:paraId="273FC258">
            <w:pPr>
              <w:jc w:val="center"/>
              <w:rPr>
                <w:rFonts w:ascii="宋体" w:hAnsi="宋体" w:cs="宋体"/>
                <w:color w:val="auto"/>
                <w:sz w:val="24"/>
                <w:highlight w:val="none"/>
              </w:rPr>
            </w:pPr>
            <w:r>
              <w:rPr>
                <w:rFonts w:hint="eastAsia" w:ascii="宋体" w:hAnsi="宋体" w:cs="宋体"/>
                <w:color w:val="auto"/>
                <w:sz w:val="24"/>
                <w:highlight w:val="none"/>
              </w:rPr>
              <w:t>从事本专业时间</w:t>
            </w:r>
          </w:p>
        </w:tc>
        <w:tc>
          <w:tcPr>
            <w:tcW w:w="2295" w:type="dxa"/>
            <w:gridSpan w:val="2"/>
            <w:tcBorders>
              <w:top w:val="single" w:color="auto" w:sz="4" w:space="0"/>
              <w:left w:val="single" w:color="auto" w:sz="4" w:space="0"/>
              <w:bottom w:val="single" w:color="auto" w:sz="4" w:space="0"/>
              <w:right w:val="single" w:color="auto" w:sz="4" w:space="0"/>
            </w:tcBorders>
            <w:noWrap w:val="0"/>
            <w:vAlign w:val="center"/>
          </w:tcPr>
          <w:p w14:paraId="44CE1DEC">
            <w:pPr>
              <w:jc w:val="center"/>
              <w:rPr>
                <w:rFonts w:ascii="宋体" w:hAnsi="宋体" w:cs="宋体"/>
                <w:color w:val="auto"/>
                <w:sz w:val="24"/>
                <w:highlight w:val="none"/>
              </w:rPr>
            </w:pPr>
          </w:p>
        </w:tc>
        <w:tc>
          <w:tcPr>
            <w:tcW w:w="2360" w:type="dxa"/>
            <w:gridSpan w:val="3"/>
            <w:tcBorders>
              <w:top w:val="single" w:color="auto" w:sz="4" w:space="0"/>
              <w:left w:val="single" w:color="auto" w:sz="4" w:space="0"/>
              <w:bottom w:val="single" w:color="auto" w:sz="4" w:space="0"/>
              <w:right w:val="single" w:color="auto" w:sz="4" w:space="0"/>
            </w:tcBorders>
            <w:noWrap w:val="0"/>
            <w:vAlign w:val="center"/>
          </w:tcPr>
          <w:p w14:paraId="56643ABF">
            <w:pPr>
              <w:jc w:val="center"/>
              <w:rPr>
                <w:rFonts w:ascii="宋体" w:hAnsi="宋体" w:cs="宋体"/>
                <w:color w:val="auto"/>
                <w:sz w:val="24"/>
                <w:highlight w:val="none"/>
              </w:rPr>
            </w:pPr>
            <w:r>
              <w:rPr>
                <w:rFonts w:hint="eastAsia" w:ascii="宋体" w:hAnsi="宋体" w:cs="宋体"/>
                <w:color w:val="auto"/>
                <w:sz w:val="24"/>
                <w:highlight w:val="none"/>
              </w:rPr>
              <w:t>为申请人</w:t>
            </w:r>
          </w:p>
          <w:p w14:paraId="5F5E09E5">
            <w:pPr>
              <w:jc w:val="center"/>
              <w:rPr>
                <w:rFonts w:ascii="宋体" w:hAnsi="宋体" w:cs="宋体"/>
                <w:color w:val="auto"/>
                <w:sz w:val="24"/>
                <w:highlight w:val="none"/>
              </w:rPr>
            </w:pPr>
            <w:r>
              <w:rPr>
                <w:rFonts w:hint="eastAsia" w:ascii="宋体" w:hAnsi="宋体" w:cs="宋体"/>
                <w:color w:val="auto"/>
                <w:sz w:val="24"/>
                <w:highlight w:val="none"/>
              </w:rPr>
              <w:t>服务时间</w:t>
            </w:r>
          </w:p>
        </w:tc>
        <w:tc>
          <w:tcPr>
            <w:tcW w:w="2048" w:type="dxa"/>
            <w:tcBorders>
              <w:top w:val="single" w:color="auto" w:sz="4" w:space="0"/>
              <w:left w:val="single" w:color="auto" w:sz="4" w:space="0"/>
              <w:bottom w:val="single" w:color="auto" w:sz="4" w:space="0"/>
              <w:right w:val="single" w:color="auto" w:sz="4" w:space="0"/>
            </w:tcBorders>
            <w:noWrap w:val="0"/>
            <w:vAlign w:val="center"/>
          </w:tcPr>
          <w:p w14:paraId="406ACA0E">
            <w:pPr>
              <w:jc w:val="center"/>
              <w:rPr>
                <w:rFonts w:ascii="宋体" w:hAnsi="宋体" w:cs="宋体"/>
                <w:color w:val="auto"/>
                <w:sz w:val="24"/>
                <w:highlight w:val="none"/>
              </w:rPr>
            </w:pPr>
          </w:p>
        </w:tc>
      </w:tr>
      <w:tr w14:paraId="7F2F2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73" w:type="dxa"/>
            <w:tcBorders>
              <w:top w:val="single" w:color="auto" w:sz="4" w:space="0"/>
              <w:left w:val="single" w:color="auto" w:sz="4" w:space="0"/>
              <w:bottom w:val="single" w:color="auto" w:sz="4" w:space="0"/>
              <w:right w:val="single" w:color="auto" w:sz="4" w:space="0"/>
            </w:tcBorders>
            <w:noWrap w:val="0"/>
            <w:vAlign w:val="center"/>
          </w:tcPr>
          <w:p w14:paraId="7DE27D27">
            <w:pPr>
              <w:jc w:val="center"/>
              <w:rPr>
                <w:rFonts w:ascii="宋体" w:hAnsi="宋体" w:cs="宋体"/>
                <w:color w:val="auto"/>
                <w:sz w:val="24"/>
                <w:highlight w:val="none"/>
              </w:rPr>
            </w:pPr>
            <w:r>
              <w:rPr>
                <w:rFonts w:hint="eastAsia" w:ascii="宋体" w:hAnsi="宋体" w:cs="宋体"/>
                <w:color w:val="auto"/>
                <w:sz w:val="24"/>
                <w:highlight w:val="none"/>
              </w:rPr>
              <w:t>执业注册</w:t>
            </w:r>
          </w:p>
        </w:tc>
        <w:tc>
          <w:tcPr>
            <w:tcW w:w="2295" w:type="dxa"/>
            <w:gridSpan w:val="2"/>
            <w:tcBorders>
              <w:top w:val="single" w:color="auto" w:sz="4" w:space="0"/>
              <w:left w:val="single" w:color="auto" w:sz="4" w:space="0"/>
              <w:bottom w:val="single" w:color="auto" w:sz="4" w:space="0"/>
              <w:right w:val="single" w:color="auto" w:sz="4" w:space="0"/>
            </w:tcBorders>
            <w:noWrap w:val="0"/>
            <w:vAlign w:val="center"/>
          </w:tcPr>
          <w:p w14:paraId="1C597498">
            <w:pPr>
              <w:jc w:val="center"/>
              <w:rPr>
                <w:rFonts w:ascii="宋体" w:hAnsi="宋体" w:cs="宋体"/>
                <w:color w:val="auto"/>
                <w:sz w:val="24"/>
                <w:highlight w:val="none"/>
              </w:rPr>
            </w:pPr>
          </w:p>
        </w:tc>
        <w:tc>
          <w:tcPr>
            <w:tcW w:w="2360" w:type="dxa"/>
            <w:gridSpan w:val="3"/>
            <w:tcBorders>
              <w:top w:val="single" w:color="auto" w:sz="4" w:space="0"/>
              <w:left w:val="single" w:color="auto" w:sz="4" w:space="0"/>
              <w:bottom w:val="single" w:color="auto" w:sz="4" w:space="0"/>
              <w:right w:val="single" w:color="auto" w:sz="4" w:space="0"/>
            </w:tcBorders>
            <w:noWrap w:val="0"/>
            <w:vAlign w:val="center"/>
          </w:tcPr>
          <w:p w14:paraId="308DBE1A">
            <w:pPr>
              <w:jc w:val="center"/>
              <w:rPr>
                <w:rFonts w:ascii="宋体" w:hAnsi="宋体" w:cs="宋体"/>
                <w:color w:val="auto"/>
                <w:sz w:val="24"/>
                <w:highlight w:val="none"/>
              </w:rPr>
            </w:pPr>
            <w:r>
              <w:rPr>
                <w:rFonts w:hint="eastAsia" w:ascii="宋体" w:hAnsi="宋体" w:cs="宋体"/>
                <w:color w:val="auto"/>
                <w:sz w:val="24"/>
                <w:highlight w:val="none"/>
              </w:rPr>
              <w:t>职    称</w:t>
            </w:r>
          </w:p>
        </w:tc>
        <w:tc>
          <w:tcPr>
            <w:tcW w:w="2048" w:type="dxa"/>
            <w:tcBorders>
              <w:top w:val="single" w:color="auto" w:sz="4" w:space="0"/>
              <w:left w:val="single" w:color="auto" w:sz="4" w:space="0"/>
              <w:bottom w:val="single" w:color="auto" w:sz="4" w:space="0"/>
              <w:right w:val="single" w:color="auto" w:sz="4" w:space="0"/>
            </w:tcBorders>
            <w:noWrap w:val="0"/>
            <w:vAlign w:val="center"/>
          </w:tcPr>
          <w:p w14:paraId="7FDA972B">
            <w:pPr>
              <w:jc w:val="center"/>
              <w:rPr>
                <w:rFonts w:ascii="宋体" w:hAnsi="宋体" w:cs="宋体"/>
                <w:color w:val="auto"/>
                <w:sz w:val="24"/>
                <w:highlight w:val="none"/>
              </w:rPr>
            </w:pPr>
          </w:p>
        </w:tc>
      </w:tr>
      <w:tr w14:paraId="1F3F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268" w:type="dxa"/>
            <w:gridSpan w:val="3"/>
            <w:tcBorders>
              <w:top w:val="single" w:color="auto" w:sz="4" w:space="0"/>
              <w:left w:val="single" w:color="auto" w:sz="4" w:space="0"/>
              <w:bottom w:val="single" w:color="auto" w:sz="4" w:space="0"/>
              <w:right w:val="single" w:color="auto" w:sz="4" w:space="0"/>
            </w:tcBorders>
            <w:noWrap w:val="0"/>
            <w:vAlign w:val="center"/>
          </w:tcPr>
          <w:p w14:paraId="6647F224">
            <w:pPr>
              <w:jc w:val="center"/>
              <w:rPr>
                <w:rFonts w:ascii="宋体" w:hAnsi="宋体" w:cs="宋体"/>
                <w:color w:val="auto"/>
                <w:sz w:val="24"/>
                <w:highlight w:val="none"/>
              </w:rPr>
            </w:pPr>
            <w:r>
              <w:rPr>
                <w:rFonts w:hint="eastAsia" w:ascii="宋体" w:hAnsi="宋体" w:cs="宋体"/>
                <w:color w:val="auto"/>
                <w:sz w:val="24"/>
                <w:highlight w:val="none"/>
              </w:rPr>
              <w:t>在本项目拟任职务</w:t>
            </w:r>
          </w:p>
        </w:tc>
        <w:tc>
          <w:tcPr>
            <w:tcW w:w="4408" w:type="dxa"/>
            <w:gridSpan w:val="4"/>
            <w:tcBorders>
              <w:top w:val="single" w:color="auto" w:sz="4" w:space="0"/>
              <w:left w:val="single" w:color="auto" w:sz="4" w:space="0"/>
              <w:bottom w:val="single" w:color="auto" w:sz="4" w:space="0"/>
              <w:right w:val="single" w:color="auto" w:sz="4" w:space="0"/>
            </w:tcBorders>
            <w:noWrap w:val="0"/>
            <w:vAlign w:val="center"/>
          </w:tcPr>
          <w:p w14:paraId="4BB07F21">
            <w:pPr>
              <w:jc w:val="center"/>
              <w:rPr>
                <w:rFonts w:ascii="宋体" w:hAnsi="宋体" w:cs="宋体"/>
                <w:color w:val="auto"/>
                <w:sz w:val="24"/>
                <w:highlight w:val="none"/>
              </w:rPr>
            </w:pPr>
          </w:p>
        </w:tc>
      </w:tr>
      <w:tr w14:paraId="219FE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8676" w:type="dxa"/>
            <w:gridSpan w:val="7"/>
            <w:tcBorders>
              <w:top w:val="single" w:color="auto" w:sz="4" w:space="0"/>
              <w:left w:val="single" w:color="auto" w:sz="4" w:space="0"/>
              <w:bottom w:val="single" w:color="auto" w:sz="4" w:space="0"/>
              <w:right w:val="single" w:color="auto" w:sz="4" w:space="0"/>
            </w:tcBorders>
            <w:noWrap w:val="0"/>
            <w:vAlign w:val="center"/>
          </w:tcPr>
          <w:p w14:paraId="11F0FCC0">
            <w:pPr>
              <w:jc w:val="center"/>
              <w:rPr>
                <w:rFonts w:ascii="宋体" w:hAnsi="宋体" w:cs="宋体"/>
                <w:color w:val="auto"/>
                <w:sz w:val="24"/>
                <w:highlight w:val="none"/>
              </w:rPr>
            </w:pPr>
            <w:r>
              <w:rPr>
                <w:rFonts w:hint="eastAsia" w:ascii="宋体" w:hAnsi="宋体" w:cs="宋体"/>
                <w:color w:val="auto"/>
                <w:sz w:val="24"/>
                <w:highlight w:val="none"/>
              </w:rPr>
              <w:t>主  要  经  历</w:t>
            </w:r>
          </w:p>
        </w:tc>
      </w:tr>
      <w:tr w14:paraId="76EE1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973" w:type="dxa"/>
            <w:tcBorders>
              <w:top w:val="single" w:color="auto" w:sz="4" w:space="0"/>
              <w:left w:val="single" w:color="auto" w:sz="4" w:space="0"/>
              <w:bottom w:val="single" w:color="auto" w:sz="4" w:space="0"/>
              <w:right w:val="single" w:color="auto" w:sz="4" w:space="0"/>
            </w:tcBorders>
            <w:noWrap w:val="0"/>
            <w:vAlign w:val="center"/>
          </w:tcPr>
          <w:p w14:paraId="6C6646A3">
            <w:pPr>
              <w:jc w:val="center"/>
              <w:rPr>
                <w:rFonts w:ascii="宋体" w:hAnsi="宋体" w:cs="宋体"/>
                <w:color w:val="auto"/>
                <w:sz w:val="24"/>
                <w:highlight w:val="none"/>
              </w:rPr>
            </w:pPr>
            <w:r>
              <w:rPr>
                <w:rFonts w:hint="eastAsia" w:ascii="宋体" w:hAnsi="宋体" w:cs="宋体"/>
                <w:color w:val="auto"/>
                <w:sz w:val="24"/>
                <w:highlight w:val="none"/>
              </w:rPr>
              <w:t>时间</w:t>
            </w:r>
          </w:p>
        </w:tc>
        <w:tc>
          <w:tcPr>
            <w:tcW w:w="4098" w:type="dxa"/>
            <w:gridSpan w:val="4"/>
            <w:tcBorders>
              <w:top w:val="single" w:color="auto" w:sz="4" w:space="0"/>
              <w:left w:val="single" w:color="auto" w:sz="4" w:space="0"/>
              <w:bottom w:val="single" w:color="auto" w:sz="4" w:space="0"/>
              <w:right w:val="single" w:color="auto" w:sz="4" w:space="0"/>
            </w:tcBorders>
            <w:noWrap w:val="0"/>
            <w:vAlign w:val="center"/>
          </w:tcPr>
          <w:p w14:paraId="4C7F74A8">
            <w:pPr>
              <w:jc w:val="center"/>
              <w:rPr>
                <w:rFonts w:ascii="宋体" w:hAnsi="宋体" w:cs="宋体"/>
                <w:color w:val="auto"/>
                <w:sz w:val="24"/>
                <w:highlight w:val="none"/>
              </w:rPr>
            </w:pPr>
            <w:r>
              <w:rPr>
                <w:rFonts w:hint="eastAsia" w:ascii="宋体" w:hAnsi="宋体" w:cs="宋体"/>
                <w:color w:val="auto"/>
                <w:sz w:val="24"/>
                <w:highlight w:val="none"/>
              </w:rPr>
              <w:t>参加过的工程项目名称及规模</w:t>
            </w:r>
          </w:p>
        </w:tc>
        <w:tc>
          <w:tcPr>
            <w:tcW w:w="2605" w:type="dxa"/>
            <w:gridSpan w:val="2"/>
            <w:tcBorders>
              <w:top w:val="single" w:color="auto" w:sz="4" w:space="0"/>
              <w:left w:val="single" w:color="auto" w:sz="4" w:space="0"/>
              <w:bottom w:val="single" w:color="auto" w:sz="4" w:space="0"/>
              <w:right w:val="single" w:color="auto" w:sz="4" w:space="0"/>
            </w:tcBorders>
            <w:noWrap w:val="0"/>
            <w:vAlign w:val="center"/>
          </w:tcPr>
          <w:p w14:paraId="7AADBDA7">
            <w:pPr>
              <w:jc w:val="center"/>
              <w:rPr>
                <w:rFonts w:ascii="宋体" w:hAnsi="宋体" w:cs="宋体"/>
                <w:color w:val="auto"/>
                <w:sz w:val="24"/>
                <w:highlight w:val="none"/>
              </w:rPr>
            </w:pPr>
            <w:r>
              <w:rPr>
                <w:rFonts w:hint="eastAsia" w:ascii="宋体" w:hAnsi="宋体" w:cs="宋体"/>
                <w:color w:val="auto"/>
                <w:sz w:val="24"/>
                <w:highlight w:val="none"/>
              </w:rPr>
              <w:t>该项目中担任职务</w:t>
            </w:r>
          </w:p>
        </w:tc>
      </w:tr>
      <w:tr w14:paraId="0B57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7" w:hRule="atLeast"/>
          <w:jc w:val="center"/>
        </w:trPr>
        <w:tc>
          <w:tcPr>
            <w:tcW w:w="1973" w:type="dxa"/>
            <w:tcBorders>
              <w:top w:val="single" w:color="auto" w:sz="4" w:space="0"/>
              <w:left w:val="single" w:color="auto" w:sz="4" w:space="0"/>
              <w:bottom w:val="single" w:color="auto" w:sz="4" w:space="0"/>
              <w:right w:val="single" w:color="auto" w:sz="4" w:space="0"/>
            </w:tcBorders>
            <w:noWrap w:val="0"/>
            <w:vAlign w:val="center"/>
          </w:tcPr>
          <w:p w14:paraId="64CE8BCC">
            <w:pPr>
              <w:jc w:val="center"/>
              <w:rPr>
                <w:rFonts w:ascii="宋体" w:hAnsi="宋体" w:cs="宋体"/>
                <w:color w:val="auto"/>
                <w:sz w:val="24"/>
                <w:highlight w:val="none"/>
              </w:rPr>
            </w:pPr>
          </w:p>
        </w:tc>
        <w:tc>
          <w:tcPr>
            <w:tcW w:w="4098" w:type="dxa"/>
            <w:gridSpan w:val="4"/>
            <w:tcBorders>
              <w:top w:val="single" w:color="auto" w:sz="4" w:space="0"/>
              <w:left w:val="single" w:color="auto" w:sz="4" w:space="0"/>
              <w:bottom w:val="single" w:color="auto" w:sz="4" w:space="0"/>
              <w:right w:val="single" w:color="auto" w:sz="4" w:space="0"/>
            </w:tcBorders>
            <w:noWrap w:val="0"/>
            <w:vAlign w:val="center"/>
          </w:tcPr>
          <w:p w14:paraId="2C314536">
            <w:pPr>
              <w:jc w:val="center"/>
              <w:rPr>
                <w:rFonts w:ascii="宋体" w:hAnsi="宋体" w:cs="宋体"/>
                <w:color w:val="auto"/>
                <w:sz w:val="24"/>
                <w:highlight w:val="none"/>
              </w:rPr>
            </w:pPr>
          </w:p>
        </w:tc>
        <w:tc>
          <w:tcPr>
            <w:tcW w:w="2605" w:type="dxa"/>
            <w:gridSpan w:val="2"/>
            <w:tcBorders>
              <w:top w:val="single" w:color="auto" w:sz="4" w:space="0"/>
              <w:left w:val="single" w:color="auto" w:sz="4" w:space="0"/>
              <w:bottom w:val="single" w:color="auto" w:sz="4" w:space="0"/>
              <w:right w:val="single" w:color="auto" w:sz="4" w:space="0"/>
            </w:tcBorders>
            <w:noWrap w:val="0"/>
            <w:vAlign w:val="center"/>
          </w:tcPr>
          <w:p w14:paraId="607E8636">
            <w:pPr>
              <w:jc w:val="center"/>
              <w:rPr>
                <w:rFonts w:ascii="宋体" w:hAnsi="宋体" w:cs="宋体"/>
                <w:color w:val="auto"/>
                <w:sz w:val="24"/>
                <w:highlight w:val="none"/>
              </w:rPr>
            </w:pPr>
          </w:p>
        </w:tc>
      </w:tr>
    </w:tbl>
    <w:p w14:paraId="5C47701D">
      <w:pPr>
        <w:autoSpaceDE w:val="0"/>
        <w:autoSpaceDN w:val="0"/>
        <w:snapToGrid w:val="0"/>
        <w:spacing w:line="360" w:lineRule="auto"/>
        <w:ind w:firstLine="482" w:firstLineChars="200"/>
        <w:rPr>
          <w:rFonts w:ascii="宋体" w:hAnsi="宋体" w:cs="宋体"/>
          <w:b/>
          <w:color w:val="auto"/>
          <w:sz w:val="24"/>
          <w:highlight w:val="none"/>
          <w:u w:val="double"/>
        </w:rPr>
      </w:pPr>
    </w:p>
    <w:p w14:paraId="6812789E">
      <w:pPr>
        <w:autoSpaceDE w:val="0"/>
        <w:autoSpaceDN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备注：</w:t>
      </w:r>
    </w:p>
    <w:p w14:paraId="1A99C7CB">
      <w:pPr>
        <w:autoSpaceDE w:val="0"/>
        <w:autoSpaceDN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1、须附上项目负责人的证书、身份证和开标截止时间前半年内在该投标单位连续三个月的社保缴纳证明。（扫描件放入投标文件中）</w:t>
      </w:r>
    </w:p>
    <w:p w14:paraId="7E2C942F">
      <w:pPr>
        <w:autoSpaceDE w:val="0"/>
        <w:autoSpaceDN w:val="0"/>
        <w:spacing w:line="360" w:lineRule="auto"/>
        <w:ind w:firstLine="482" w:firstLineChars="200"/>
        <w:rPr>
          <w:rFonts w:ascii="宋体" w:hAnsi="宋体" w:cs="宋体"/>
          <w:b/>
          <w:color w:val="auto"/>
          <w:sz w:val="24"/>
          <w:highlight w:val="none"/>
        </w:rPr>
      </w:pPr>
    </w:p>
    <w:p w14:paraId="105C269E">
      <w:pPr>
        <w:spacing w:line="360" w:lineRule="auto"/>
        <w:rPr>
          <w:rFonts w:ascii="宋体" w:hAnsi="宋体"/>
          <w:color w:val="auto"/>
          <w:sz w:val="24"/>
          <w:highlight w:val="none"/>
        </w:rPr>
        <w:sectPr>
          <w:pgSz w:w="11906" w:h="16838"/>
          <w:pgMar w:top="1418" w:right="1077" w:bottom="1418" w:left="1077" w:header="851" w:footer="992" w:gutter="0"/>
          <w:cols w:space="720" w:num="1"/>
          <w:docGrid w:type="lines" w:linePitch="312" w:charSpace="0"/>
        </w:sectPr>
      </w:pPr>
    </w:p>
    <w:p w14:paraId="3E87AB37">
      <w:pPr>
        <w:tabs>
          <w:tab w:val="left" w:pos="7560"/>
        </w:tabs>
        <w:spacing w:before="62" w:beforeLines="20" w:after="62" w:afterLines="20" w:line="360" w:lineRule="auto"/>
        <w:ind w:firstLine="643" w:firstLineChars="200"/>
        <w:jc w:val="center"/>
        <w:rPr>
          <w:rFonts w:ascii="宋体" w:hAnsi="宋体" w:cs="仿宋"/>
          <w:b/>
          <w:color w:val="auto"/>
          <w:sz w:val="28"/>
          <w:szCs w:val="28"/>
          <w:highlight w:val="none"/>
        </w:rPr>
      </w:pPr>
      <w:r>
        <w:rPr>
          <w:rFonts w:hint="eastAsia"/>
          <w:b/>
          <w:color w:val="auto"/>
          <w:sz w:val="32"/>
          <w:highlight w:val="none"/>
        </w:rPr>
        <w:t>（8）</w:t>
      </w:r>
      <w:r>
        <w:rPr>
          <w:rFonts w:hint="eastAsia" w:ascii="宋体" w:hAnsi="宋体" w:cs="仿宋"/>
          <w:b/>
          <w:color w:val="auto"/>
          <w:sz w:val="28"/>
          <w:szCs w:val="28"/>
          <w:highlight w:val="none"/>
        </w:rPr>
        <w:t>诚信承诺书</w:t>
      </w:r>
    </w:p>
    <w:p w14:paraId="5FEB4D94">
      <w:pPr>
        <w:tabs>
          <w:tab w:val="left" w:pos="7560"/>
        </w:tabs>
        <w:adjustRightInd w:val="0"/>
        <w:spacing w:before="62" w:beforeLines="20" w:after="62" w:afterLines="20" w:line="360" w:lineRule="auto"/>
        <w:jc w:val="left"/>
        <w:rPr>
          <w:rFonts w:hint="eastAsia" w:hAnsi="宋体"/>
          <w:color w:val="auto"/>
          <w:highlight w:val="none"/>
        </w:rPr>
      </w:pPr>
      <w:r>
        <w:rPr>
          <w:rFonts w:hint="eastAsia" w:hAnsi="宋体"/>
          <w:color w:val="auto"/>
          <w:highlight w:val="none"/>
        </w:rPr>
        <w:t>致招标人：</w:t>
      </w:r>
      <w:r>
        <w:rPr>
          <w:rFonts w:hint="eastAsia" w:hAnsi="宋体"/>
          <w:color w:val="auto"/>
          <w:highlight w:val="none"/>
          <w:u w:val="single"/>
        </w:rPr>
        <w:t xml:space="preserve">                 </w:t>
      </w:r>
      <w:r>
        <w:rPr>
          <w:rFonts w:hint="eastAsia" w:hAnsi="宋体"/>
          <w:color w:val="auto"/>
          <w:highlight w:val="none"/>
        </w:rPr>
        <w:t xml:space="preserve">     </w:t>
      </w:r>
    </w:p>
    <w:p w14:paraId="2CC23276">
      <w:pPr>
        <w:tabs>
          <w:tab w:val="left" w:pos="7560"/>
        </w:tabs>
        <w:adjustRightInd w:val="0"/>
        <w:spacing w:before="62" w:beforeLines="20" w:after="62" w:afterLines="20"/>
        <w:ind w:firstLine="480" w:firstLineChars="200"/>
        <w:jc w:val="left"/>
        <w:rPr>
          <w:rFonts w:hint="eastAsia" w:hAnsi="宋体"/>
          <w:color w:val="auto"/>
          <w:highlight w:val="none"/>
        </w:rPr>
      </w:pPr>
      <w:r>
        <w:rPr>
          <w:rFonts w:hint="eastAsia" w:hAnsi="宋体"/>
          <w:color w:val="auto"/>
          <w:highlight w:val="none"/>
        </w:rPr>
        <w:t>我单位在参加</w:t>
      </w:r>
      <w:r>
        <w:rPr>
          <w:rFonts w:hint="eastAsia" w:hAnsi="宋体"/>
          <w:color w:val="auto"/>
          <w:highlight w:val="none"/>
          <w:u w:val="single"/>
        </w:rPr>
        <w:t xml:space="preserve">                            </w:t>
      </w:r>
      <w:r>
        <w:rPr>
          <w:rFonts w:hint="eastAsia" w:hAnsi="宋体"/>
          <w:color w:val="auto"/>
          <w:highlight w:val="none"/>
        </w:rPr>
        <w:t>项目的交易活动过程中，郑重承诺如下：</w:t>
      </w:r>
    </w:p>
    <w:p w14:paraId="5F6E6FA7">
      <w:pPr>
        <w:spacing w:line="460" w:lineRule="exact"/>
        <w:ind w:firstLine="480" w:firstLineChars="200"/>
        <w:rPr>
          <w:rFonts w:hAnsi="宋体" w:cs="宋体"/>
          <w:color w:val="auto"/>
          <w:highlight w:val="none"/>
        </w:rPr>
      </w:pPr>
      <w:r>
        <w:rPr>
          <w:rFonts w:hint="eastAsia" w:hAnsi="宋体" w:cs="宋体"/>
          <w:color w:val="auto"/>
          <w:highlight w:val="none"/>
        </w:rPr>
        <w:t>一、确保提供的一切材料均为真实、合法和有效。</w:t>
      </w:r>
    </w:p>
    <w:p w14:paraId="5F02BC0A">
      <w:pPr>
        <w:spacing w:line="460" w:lineRule="exact"/>
        <w:ind w:firstLine="480" w:firstLineChars="200"/>
        <w:rPr>
          <w:rFonts w:hAnsi="宋体" w:cs="宋体"/>
          <w:color w:val="auto"/>
          <w:highlight w:val="none"/>
        </w:rPr>
      </w:pPr>
      <w:r>
        <w:rPr>
          <w:rFonts w:hint="eastAsia" w:hAnsi="宋体" w:cs="宋体"/>
          <w:color w:val="auto"/>
          <w:highlight w:val="none"/>
        </w:rPr>
        <w:t>二、不受让、租借他人资格、资质证书，不以他人名义投标；不以伪造、变造等其他方式弄虚作假，骗取中标。</w:t>
      </w:r>
    </w:p>
    <w:p w14:paraId="6D519CBD">
      <w:pPr>
        <w:spacing w:line="460" w:lineRule="exact"/>
        <w:ind w:firstLine="480" w:firstLineChars="200"/>
        <w:rPr>
          <w:rFonts w:hAnsi="宋体" w:cs="宋体"/>
          <w:color w:val="auto"/>
          <w:highlight w:val="none"/>
        </w:rPr>
      </w:pPr>
      <w:r>
        <w:rPr>
          <w:rFonts w:hint="eastAsia" w:hAnsi="宋体" w:cs="宋体"/>
          <w:color w:val="auto"/>
          <w:highlight w:val="none"/>
        </w:rPr>
        <w:t>三、不与招标人、招标代理机构或其他投标人串通投标。</w:t>
      </w:r>
    </w:p>
    <w:p w14:paraId="1B554757">
      <w:pPr>
        <w:spacing w:line="460" w:lineRule="exact"/>
        <w:ind w:firstLine="480" w:firstLineChars="200"/>
        <w:rPr>
          <w:rFonts w:hAnsi="宋体" w:cs="宋体"/>
          <w:color w:val="auto"/>
          <w:highlight w:val="none"/>
        </w:rPr>
      </w:pPr>
      <w:r>
        <w:rPr>
          <w:rFonts w:hint="eastAsia" w:hAnsi="宋体" w:cs="宋体"/>
          <w:color w:val="auto"/>
          <w:highlight w:val="none"/>
        </w:rPr>
        <w:t>四、不以向招标人、评标委员会成员或其他相关人员行贿方式牟取中标。</w:t>
      </w:r>
    </w:p>
    <w:p w14:paraId="254F5701">
      <w:pPr>
        <w:spacing w:line="460" w:lineRule="exact"/>
        <w:ind w:firstLine="480" w:firstLineChars="200"/>
        <w:rPr>
          <w:rFonts w:hAnsi="宋体" w:cs="宋体"/>
          <w:color w:val="auto"/>
          <w:highlight w:val="none"/>
        </w:rPr>
      </w:pPr>
      <w:r>
        <w:rPr>
          <w:rFonts w:hint="eastAsia" w:hAnsi="宋体" w:cs="宋体"/>
          <w:color w:val="auto"/>
          <w:highlight w:val="none"/>
        </w:rPr>
        <w:t>五、在行使异议、质疑、投诉权利时，提供真实、合法、充分的材料，不捏造事实、伪造材料或以其他非法手段取得证明材料。</w:t>
      </w:r>
    </w:p>
    <w:p w14:paraId="1283AF9E">
      <w:pPr>
        <w:spacing w:line="460" w:lineRule="exact"/>
        <w:ind w:firstLine="480" w:firstLineChars="200"/>
        <w:rPr>
          <w:rFonts w:hAnsi="宋体" w:cs="宋体"/>
          <w:color w:val="auto"/>
          <w:highlight w:val="none"/>
        </w:rPr>
      </w:pPr>
      <w:r>
        <w:rPr>
          <w:rFonts w:hint="eastAsia" w:hAnsi="宋体" w:cs="宋体"/>
          <w:color w:val="auto"/>
          <w:highlight w:val="none"/>
        </w:rPr>
        <w:t>六、中标后，及时办理中标相关手续，并按照交易文件的约定，与招标人依法签订合同。</w:t>
      </w:r>
    </w:p>
    <w:p w14:paraId="77382FDC">
      <w:pPr>
        <w:spacing w:line="460" w:lineRule="exact"/>
        <w:ind w:firstLine="480" w:firstLineChars="200"/>
        <w:rPr>
          <w:rFonts w:hAnsi="宋体" w:cs="宋体"/>
          <w:color w:val="auto"/>
          <w:highlight w:val="none"/>
        </w:rPr>
      </w:pPr>
      <w:r>
        <w:rPr>
          <w:rFonts w:hint="eastAsia" w:hAnsi="宋体" w:cs="宋体"/>
          <w:color w:val="auto"/>
          <w:highlight w:val="none"/>
        </w:rPr>
        <w:t>七、在履约过程中，严格按照交易文件及合同约定履行义务；除法律法规允许外，在价格、质量、工期（供货期）、人员组成等方面不做任何有悖于交易文件实质性内容行为。</w:t>
      </w:r>
    </w:p>
    <w:p w14:paraId="4314C803">
      <w:pPr>
        <w:spacing w:line="460" w:lineRule="exact"/>
        <w:ind w:firstLine="480" w:firstLineChars="200"/>
        <w:rPr>
          <w:rFonts w:hAnsi="宋体" w:cs="宋体"/>
          <w:color w:val="auto"/>
          <w:highlight w:val="none"/>
        </w:rPr>
      </w:pPr>
      <w:r>
        <w:rPr>
          <w:rFonts w:hint="eastAsia" w:hAnsi="宋体" w:cs="宋体"/>
          <w:color w:val="auto"/>
          <w:highlight w:val="none"/>
        </w:rPr>
        <w:t>八、至投标截止之日，我公司没有投标人须知前附表及投标人须知1.4.3、1.4.4 规定的不得投标的关联关系、不良状况和不良信用记录。</w:t>
      </w:r>
    </w:p>
    <w:p w14:paraId="79B9D9D2">
      <w:pPr>
        <w:spacing w:line="460" w:lineRule="exact"/>
        <w:ind w:firstLine="480" w:firstLineChars="200"/>
        <w:rPr>
          <w:rFonts w:hint="eastAsia" w:ascii="宋体" w:hAnsi="宋体" w:eastAsia="宋体" w:cs="宋体"/>
          <w:color w:val="auto"/>
          <w:highlight w:val="none"/>
        </w:rPr>
      </w:pPr>
      <w:r>
        <w:rPr>
          <w:rFonts w:hint="eastAsia" w:hAnsi="宋体" w:cs="宋体"/>
          <w:color w:val="auto"/>
          <w:highlight w:val="none"/>
        </w:rPr>
        <w:t>九、</w:t>
      </w:r>
      <w:r>
        <w:rPr>
          <w:rFonts w:hint="eastAsia" w:ascii="宋体" w:hAnsi="宋体" w:eastAsia="宋体" w:cs="宋体"/>
          <w:color w:val="auto"/>
          <w:highlight w:val="none"/>
        </w:rPr>
        <w:t>至投标截止之日，我公司没有评标办法7.企业信用评审中规定的不良行为。</w:t>
      </w:r>
    </w:p>
    <w:p w14:paraId="13D40187">
      <w:pPr>
        <w:spacing w:line="46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十、我公司不是“铜陵市郊区城镇污水处理设施提质增效工程一期（老洲镇灰河乡陈瑶湖镇）PC＋O（施工采购安装运维一体化）项目（二次）”和“铜陵市郊区乡镇污水治理项目二期（周潭镇、铜山镇、安铜办）PC+O（施工采购安装运维一体化）项目”的两个项目的中标方联合体成员，且未参加两个项目的分包施工工作。</w:t>
      </w:r>
    </w:p>
    <w:p w14:paraId="03F91C78">
      <w:pPr>
        <w:spacing w:line="460" w:lineRule="exact"/>
        <w:ind w:firstLine="480" w:firstLineChars="200"/>
        <w:rPr>
          <w:rFonts w:hAnsi="宋体" w:cs="宋体"/>
          <w:color w:val="auto"/>
          <w:highlight w:val="none"/>
        </w:rPr>
      </w:pPr>
      <w:r>
        <w:rPr>
          <w:rFonts w:hint="eastAsia" w:hAnsi="宋体" w:cs="宋体"/>
          <w:color w:val="auto"/>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74E1848A">
      <w:pPr>
        <w:tabs>
          <w:tab w:val="left" w:pos="7560"/>
        </w:tabs>
        <w:adjustRightInd w:val="0"/>
        <w:spacing w:before="62" w:beforeLines="20" w:after="62" w:afterLines="20"/>
        <w:ind w:firstLine="480" w:firstLineChars="200"/>
        <w:jc w:val="left"/>
        <w:rPr>
          <w:rFonts w:hint="eastAsia" w:hAnsi="宋体"/>
          <w:color w:val="auto"/>
          <w:highlight w:val="none"/>
        </w:rPr>
      </w:pPr>
    </w:p>
    <w:p w14:paraId="45BF27C4">
      <w:pPr>
        <w:tabs>
          <w:tab w:val="left" w:pos="7560"/>
        </w:tabs>
        <w:adjustRightInd w:val="0"/>
        <w:spacing w:before="62" w:beforeLines="20" w:after="62" w:afterLines="20"/>
        <w:ind w:firstLine="480" w:firstLineChars="200"/>
        <w:jc w:val="left"/>
        <w:rPr>
          <w:rFonts w:hint="eastAsia" w:hAnsi="宋体"/>
          <w:color w:val="auto"/>
          <w:highlight w:val="none"/>
        </w:rPr>
      </w:pPr>
    </w:p>
    <w:p w14:paraId="1292DEB6">
      <w:pPr>
        <w:tabs>
          <w:tab w:val="left" w:pos="7560"/>
        </w:tabs>
        <w:adjustRightInd w:val="0"/>
        <w:spacing w:before="62" w:beforeLines="20" w:after="62" w:afterLines="20"/>
        <w:ind w:firstLine="480" w:firstLineChars="200"/>
        <w:jc w:val="left"/>
        <w:rPr>
          <w:rFonts w:hint="eastAsia" w:hAnsi="宋体"/>
          <w:color w:val="auto"/>
          <w:highlight w:val="none"/>
        </w:rPr>
      </w:pPr>
      <w:r>
        <w:rPr>
          <w:rFonts w:hint="eastAsia" w:hAnsi="宋体"/>
          <w:color w:val="auto"/>
          <w:highlight w:val="none"/>
        </w:rPr>
        <w:t>投标单位：</w:t>
      </w:r>
      <w:r>
        <w:rPr>
          <w:rFonts w:hint="eastAsia" w:hAnsi="宋体"/>
          <w:color w:val="auto"/>
          <w:highlight w:val="none"/>
          <w:u w:val="single"/>
        </w:rPr>
        <w:t xml:space="preserve">                       </w:t>
      </w:r>
      <w:r>
        <w:rPr>
          <w:rFonts w:hint="eastAsia" w:hAnsi="宋体"/>
          <w:color w:val="auto"/>
          <w:highlight w:val="none"/>
        </w:rPr>
        <w:t xml:space="preserve"> （盖章）</w:t>
      </w:r>
    </w:p>
    <w:p w14:paraId="00CC7A3C">
      <w:pPr>
        <w:tabs>
          <w:tab w:val="left" w:pos="7560"/>
        </w:tabs>
        <w:adjustRightInd w:val="0"/>
        <w:spacing w:before="62" w:beforeLines="20" w:after="62" w:afterLines="20"/>
        <w:ind w:firstLine="480" w:firstLineChars="200"/>
        <w:jc w:val="left"/>
        <w:rPr>
          <w:rFonts w:hint="eastAsia" w:hAnsi="宋体"/>
          <w:b/>
          <w:color w:val="auto"/>
          <w:sz w:val="28"/>
          <w:szCs w:val="28"/>
          <w:highlight w:val="none"/>
        </w:rPr>
      </w:pPr>
      <w:r>
        <w:rPr>
          <w:rFonts w:hint="eastAsia" w:hAnsi="宋体"/>
          <w:color w:val="auto"/>
          <w:highlight w:val="none"/>
        </w:rPr>
        <w:t>法定代表人：</w:t>
      </w:r>
      <w:r>
        <w:rPr>
          <w:rFonts w:hint="eastAsia" w:hAnsi="宋体"/>
          <w:color w:val="auto"/>
          <w:highlight w:val="none"/>
          <w:u w:val="single"/>
        </w:rPr>
        <w:t xml:space="preserve">                      </w:t>
      </w:r>
      <w:r>
        <w:rPr>
          <w:rFonts w:hint="eastAsia" w:hAnsi="宋体"/>
          <w:color w:val="auto"/>
          <w:highlight w:val="none"/>
        </w:rPr>
        <w:t>（签名或盖章）</w:t>
      </w:r>
    </w:p>
    <w:p w14:paraId="729EFA9D">
      <w:pPr>
        <w:tabs>
          <w:tab w:val="left" w:pos="7560"/>
        </w:tabs>
        <w:adjustRightInd w:val="0"/>
        <w:spacing w:before="62" w:beforeLines="20" w:after="62" w:afterLines="20"/>
        <w:ind w:firstLine="562" w:firstLineChars="200"/>
        <w:jc w:val="center"/>
        <w:rPr>
          <w:rFonts w:hint="eastAsia" w:hAnsi="宋体"/>
          <w:b/>
          <w:color w:val="auto"/>
          <w:sz w:val="28"/>
          <w:szCs w:val="28"/>
          <w:highlight w:val="none"/>
        </w:rPr>
      </w:pPr>
    </w:p>
    <w:p w14:paraId="527A14EA">
      <w:pPr>
        <w:tabs>
          <w:tab w:val="left" w:pos="7560"/>
        </w:tabs>
        <w:adjustRightInd w:val="0"/>
        <w:spacing w:before="62" w:beforeLines="20" w:after="62" w:afterLines="20"/>
        <w:ind w:firstLine="562" w:firstLineChars="200"/>
        <w:jc w:val="center"/>
        <w:rPr>
          <w:rFonts w:hint="eastAsia" w:hAnsi="宋体"/>
          <w:b/>
          <w:color w:val="auto"/>
          <w:sz w:val="28"/>
          <w:szCs w:val="28"/>
          <w:highlight w:val="none"/>
        </w:rPr>
      </w:pPr>
      <w:r>
        <w:rPr>
          <w:rFonts w:hint="eastAsia" w:hAnsi="宋体"/>
          <w:b/>
          <w:color w:val="auto"/>
          <w:sz w:val="28"/>
          <w:szCs w:val="28"/>
          <w:highlight w:val="none"/>
        </w:rPr>
        <w:t xml:space="preserve">                年     月     日</w:t>
      </w:r>
    </w:p>
    <w:p w14:paraId="5E4423FF">
      <w:pPr>
        <w:pStyle w:val="19"/>
        <w:spacing w:before="7"/>
        <w:jc w:val="center"/>
        <w:rPr>
          <w:color w:val="auto"/>
          <w:highlight w:val="none"/>
        </w:rPr>
      </w:pPr>
      <w:r>
        <w:rPr>
          <w:rFonts w:hint="eastAsia"/>
          <w:b/>
          <w:color w:val="auto"/>
          <w:sz w:val="32"/>
          <w:highlight w:val="none"/>
        </w:rPr>
        <w:br w:type="page"/>
      </w:r>
    </w:p>
    <w:p w14:paraId="49780A45">
      <w:pPr>
        <w:pStyle w:val="72"/>
        <w:ind w:firstLine="400"/>
        <w:rPr>
          <w:color w:val="auto"/>
          <w:highlight w:val="none"/>
        </w:rPr>
      </w:pPr>
    </w:p>
    <w:p w14:paraId="5E163D3C">
      <w:pPr>
        <w:ind w:left="480" w:leftChars="200"/>
        <w:jc w:val="center"/>
        <w:rPr>
          <w:rFonts w:hint="eastAsia" w:ascii="宋体" w:hAnsi="宋体" w:cs="仿宋_GB2312"/>
          <w:b/>
          <w:color w:val="auto"/>
          <w:sz w:val="28"/>
          <w:szCs w:val="28"/>
          <w:highlight w:val="none"/>
        </w:rPr>
      </w:pPr>
      <w:r>
        <w:rPr>
          <w:rFonts w:hint="eastAsia" w:ascii="宋体" w:hAnsi="宋体" w:cs="仿宋_GB2312"/>
          <w:b/>
          <w:color w:val="auto"/>
          <w:sz w:val="28"/>
          <w:szCs w:val="28"/>
          <w:highlight w:val="none"/>
        </w:rPr>
        <w:t>（9）企业业绩情况一览表</w:t>
      </w:r>
      <w:r>
        <w:rPr>
          <w:rFonts w:hint="eastAsia" w:hAnsi="宋体"/>
          <w:b/>
          <w:color w:val="auto"/>
          <w:sz w:val="28"/>
          <w:szCs w:val="28"/>
          <w:highlight w:val="none"/>
        </w:rPr>
        <w:t>（如有）</w:t>
      </w:r>
    </w:p>
    <w:p w14:paraId="2FF2B537">
      <w:pPr>
        <w:ind w:left="480" w:leftChars="200"/>
        <w:jc w:val="center"/>
        <w:rPr>
          <w:rFonts w:hint="eastAsia" w:ascii="宋体" w:hAnsi="宋体" w:cs="仿宋_GB2312"/>
          <w:b/>
          <w:bCs/>
          <w:color w:val="auto"/>
          <w:sz w:val="28"/>
          <w:szCs w:val="28"/>
          <w:highlight w:val="none"/>
        </w:rPr>
      </w:pPr>
    </w:p>
    <w:tbl>
      <w:tblPr>
        <w:tblStyle w:val="54"/>
        <w:tblW w:w="0" w:type="auto"/>
        <w:tblInd w:w="1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042"/>
        <w:gridCol w:w="2894"/>
        <w:gridCol w:w="1275"/>
        <w:gridCol w:w="1134"/>
      </w:tblGrid>
      <w:tr w14:paraId="497E9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exact"/>
        </w:trPr>
        <w:tc>
          <w:tcPr>
            <w:tcW w:w="675" w:type="dxa"/>
            <w:tcBorders>
              <w:top w:val="single" w:color="auto" w:sz="4" w:space="0"/>
              <w:left w:val="single" w:color="auto" w:sz="4" w:space="0"/>
              <w:bottom w:val="single" w:color="auto" w:sz="4" w:space="0"/>
              <w:right w:val="single" w:color="auto" w:sz="4" w:space="0"/>
            </w:tcBorders>
            <w:noWrap w:val="0"/>
            <w:vAlign w:val="center"/>
          </w:tcPr>
          <w:p w14:paraId="6AA028F3">
            <w:pPr>
              <w:jc w:val="center"/>
              <w:rPr>
                <w:rFonts w:hint="eastAsia" w:ascii="宋体" w:hAnsi="宋体" w:cs="仿宋_GB2312"/>
                <w:color w:val="auto"/>
                <w:sz w:val="24"/>
                <w:highlight w:val="none"/>
              </w:rPr>
            </w:pPr>
            <w:r>
              <w:rPr>
                <w:rFonts w:hint="eastAsia" w:ascii="宋体" w:hAnsi="宋体" w:cs="仿宋_GB2312"/>
                <w:color w:val="auto"/>
                <w:sz w:val="24"/>
                <w:highlight w:val="none"/>
              </w:rPr>
              <w:t>序号</w:t>
            </w:r>
          </w:p>
        </w:tc>
        <w:tc>
          <w:tcPr>
            <w:tcW w:w="3042" w:type="dxa"/>
            <w:tcBorders>
              <w:top w:val="single" w:color="auto" w:sz="4" w:space="0"/>
              <w:left w:val="single" w:color="auto" w:sz="4" w:space="0"/>
              <w:bottom w:val="single" w:color="auto" w:sz="4" w:space="0"/>
              <w:right w:val="single" w:color="auto" w:sz="4" w:space="0"/>
            </w:tcBorders>
            <w:noWrap w:val="0"/>
            <w:vAlign w:val="center"/>
          </w:tcPr>
          <w:p w14:paraId="08F1BBD7">
            <w:pPr>
              <w:jc w:val="center"/>
              <w:rPr>
                <w:rFonts w:hint="eastAsia" w:ascii="宋体" w:hAnsi="宋体" w:cs="仿宋_GB2312"/>
                <w:color w:val="auto"/>
                <w:sz w:val="24"/>
                <w:highlight w:val="none"/>
              </w:rPr>
            </w:pPr>
            <w:r>
              <w:rPr>
                <w:rFonts w:hint="eastAsia" w:ascii="宋体" w:hAnsi="宋体" w:cs="仿宋_GB2312"/>
                <w:color w:val="auto"/>
                <w:sz w:val="24"/>
                <w:highlight w:val="none"/>
              </w:rPr>
              <w:t>业绩名称</w:t>
            </w:r>
          </w:p>
        </w:tc>
        <w:tc>
          <w:tcPr>
            <w:tcW w:w="2894" w:type="dxa"/>
            <w:tcBorders>
              <w:top w:val="single" w:color="auto" w:sz="4" w:space="0"/>
              <w:left w:val="single" w:color="auto" w:sz="4" w:space="0"/>
              <w:bottom w:val="single" w:color="auto" w:sz="4" w:space="0"/>
              <w:right w:val="single" w:color="auto" w:sz="4" w:space="0"/>
            </w:tcBorders>
            <w:noWrap w:val="0"/>
            <w:vAlign w:val="center"/>
          </w:tcPr>
          <w:p w14:paraId="21B55B0F">
            <w:pPr>
              <w:jc w:val="center"/>
              <w:rPr>
                <w:rFonts w:hint="eastAsia" w:ascii="宋体" w:hAnsi="宋体" w:cs="仿宋_GB2312"/>
                <w:color w:val="auto"/>
                <w:sz w:val="24"/>
                <w:highlight w:val="none"/>
              </w:rPr>
            </w:pPr>
            <w:r>
              <w:rPr>
                <w:rFonts w:hint="eastAsia" w:ascii="宋体" w:hAnsi="宋体" w:cs="仿宋_GB2312"/>
                <w:color w:val="auto"/>
                <w:sz w:val="24"/>
                <w:highlight w:val="none"/>
              </w:rPr>
              <w:t>合同签订时间</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4FFA896">
            <w:pPr>
              <w:jc w:val="center"/>
              <w:rPr>
                <w:rFonts w:hint="eastAsia" w:ascii="宋体" w:hAnsi="宋体" w:cs="仿宋_GB2312"/>
                <w:color w:val="auto"/>
                <w:sz w:val="24"/>
                <w:highlight w:val="none"/>
              </w:rPr>
            </w:pPr>
            <w:r>
              <w:rPr>
                <w:rFonts w:hint="eastAsia" w:ascii="宋体" w:hAnsi="宋体" w:cs="仿宋_GB2312"/>
                <w:color w:val="auto"/>
                <w:sz w:val="24"/>
                <w:highlight w:val="none"/>
              </w:rPr>
              <w:t>合同价（万元）</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B2F9C65">
            <w:pPr>
              <w:jc w:val="center"/>
              <w:rPr>
                <w:rFonts w:hint="eastAsia" w:ascii="宋体" w:hAnsi="宋体" w:cs="仿宋_GB2312"/>
                <w:color w:val="auto"/>
                <w:sz w:val="24"/>
                <w:highlight w:val="none"/>
              </w:rPr>
            </w:pPr>
            <w:r>
              <w:rPr>
                <w:rFonts w:hint="eastAsia" w:ascii="宋体" w:hAnsi="宋体" w:cs="仿宋_GB2312"/>
                <w:color w:val="auto"/>
                <w:sz w:val="24"/>
                <w:highlight w:val="none"/>
              </w:rPr>
              <w:t>备注</w:t>
            </w:r>
          </w:p>
        </w:tc>
      </w:tr>
      <w:tr w14:paraId="3416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exact"/>
        </w:trPr>
        <w:tc>
          <w:tcPr>
            <w:tcW w:w="675" w:type="dxa"/>
            <w:tcBorders>
              <w:top w:val="single" w:color="auto" w:sz="4" w:space="0"/>
              <w:left w:val="single" w:color="auto" w:sz="4" w:space="0"/>
              <w:bottom w:val="single" w:color="auto" w:sz="4" w:space="0"/>
              <w:right w:val="single" w:color="auto" w:sz="4" w:space="0"/>
            </w:tcBorders>
            <w:noWrap w:val="0"/>
            <w:vAlign w:val="center"/>
          </w:tcPr>
          <w:p w14:paraId="5B6C0C8D">
            <w:pPr>
              <w:jc w:val="center"/>
              <w:rPr>
                <w:rFonts w:ascii="宋体" w:hAnsi="宋体" w:cs="仿宋_GB2312"/>
                <w:color w:val="auto"/>
                <w:sz w:val="24"/>
                <w:highlight w:val="none"/>
              </w:rPr>
            </w:pPr>
            <w:r>
              <w:rPr>
                <w:rFonts w:hint="eastAsia" w:ascii="宋体" w:hAnsi="宋体" w:cs="仿宋_GB2312"/>
                <w:color w:val="auto"/>
                <w:sz w:val="24"/>
                <w:highlight w:val="none"/>
              </w:rPr>
              <w:t>1</w:t>
            </w:r>
          </w:p>
        </w:tc>
        <w:tc>
          <w:tcPr>
            <w:tcW w:w="3042" w:type="dxa"/>
            <w:tcBorders>
              <w:top w:val="single" w:color="auto" w:sz="4" w:space="0"/>
              <w:left w:val="single" w:color="auto" w:sz="4" w:space="0"/>
              <w:bottom w:val="single" w:color="auto" w:sz="4" w:space="0"/>
              <w:right w:val="single" w:color="auto" w:sz="4" w:space="0"/>
            </w:tcBorders>
            <w:noWrap w:val="0"/>
            <w:vAlign w:val="center"/>
          </w:tcPr>
          <w:p w14:paraId="4709A680">
            <w:pPr>
              <w:jc w:val="center"/>
              <w:rPr>
                <w:rFonts w:hint="eastAsia" w:ascii="宋体" w:hAnsi="宋体" w:cs="仿宋_GB2312"/>
                <w:color w:val="auto"/>
                <w:sz w:val="24"/>
                <w:highlight w:val="none"/>
              </w:rPr>
            </w:pPr>
          </w:p>
        </w:tc>
        <w:tc>
          <w:tcPr>
            <w:tcW w:w="2894" w:type="dxa"/>
            <w:tcBorders>
              <w:top w:val="single" w:color="auto" w:sz="4" w:space="0"/>
              <w:left w:val="single" w:color="auto" w:sz="4" w:space="0"/>
              <w:bottom w:val="single" w:color="auto" w:sz="4" w:space="0"/>
              <w:right w:val="single" w:color="auto" w:sz="4" w:space="0"/>
            </w:tcBorders>
            <w:noWrap w:val="0"/>
            <w:vAlign w:val="center"/>
          </w:tcPr>
          <w:p w14:paraId="54177DBE">
            <w:pPr>
              <w:jc w:val="center"/>
              <w:rPr>
                <w:rFonts w:hint="eastAsia" w:ascii="宋体" w:hAnsi="宋体" w:cs="仿宋_GB2312"/>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03C58C4">
            <w:pPr>
              <w:jc w:val="center"/>
              <w:rPr>
                <w:rFonts w:hint="eastAsia" w:ascii="宋体" w:hAnsi="宋体" w:cs="仿宋_GB2312"/>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302EBA">
            <w:pPr>
              <w:jc w:val="center"/>
              <w:rPr>
                <w:rFonts w:hint="eastAsia" w:ascii="宋体" w:hAnsi="宋体" w:cs="仿宋_GB2312"/>
                <w:color w:val="auto"/>
                <w:sz w:val="24"/>
                <w:highlight w:val="none"/>
              </w:rPr>
            </w:pPr>
          </w:p>
        </w:tc>
      </w:tr>
      <w:tr w14:paraId="7BD08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exact"/>
        </w:trPr>
        <w:tc>
          <w:tcPr>
            <w:tcW w:w="675" w:type="dxa"/>
            <w:tcBorders>
              <w:top w:val="single" w:color="auto" w:sz="4" w:space="0"/>
              <w:left w:val="single" w:color="auto" w:sz="4" w:space="0"/>
              <w:bottom w:val="single" w:color="auto" w:sz="4" w:space="0"/>
              <w:right w:val="single" w:color="auto" w:sz="4" w:space="0"/>
            </w:tcBorders>
            <w:noWrap w:val="0"/>
            <w:vAlign w:val="center"/>
          </w:tcPr>
          <w:p w14:paraId="7717E1AB">
            <w:pPr>
              <w:jc w:val="center"/>
              <w:rPr>
                <w:rFonts w:hint="eastAsia" w:ascii="宋体" w:hAnsi="宋体" w:cs="仿宋_GB2312"/>
                <w:color w:val="auto"/>
                <w:sz w:val="24"/>
                <w:highlight w:val="none"/>
              </w:rPr>
            </w:pPr>
          </w:p>
        </w:tc>
        <w:tc>
          <w:tcPr>
            <w:tcW w:w="3042" w:type="dxa"/>
            <w:tcBorders>
              <w:top w:val="single" w:color="auto" w:sz="4" w:space="0"/>
              <w:left w:val="single" w:color="auto" w:sz="4" w:space="0"/>
              <w:bottom w:val="single" w:color="auto" w:sz="4" w:space="0"/>
              <w:right w:val="single" w:color="auto" w:sz="4" w:space="0"/>
            </w:tcBorders>
            <w:noWrap w:val="0"/>
            <w:vAlign w:val="center"/>
          </w:tcPr>
          <w:p w14:paraId="32462211">
            <w:pPr>
              <w:jc w:val="center"/>
              <w:rPr>
                <w:rFonts w:hint="eastAsia" w:ascii="宋体" w:hAnsi="宋体" w:cs="仿宋_GB2312"/>
                <w:color w:val="auto"/>
                <w:sz w:val="24"/>
                <w:highlight w:val="none"/>
              </w:rPr>
            </w:pPr>
          </w:p>
        </w:tc>
        <w:tc>
          <w:tcPr>
            <w:tcW w:w="2894" w:type="dxa"/>
            <w:tcBorders>
              <w:top w:val="single" w:color="auto" w:sz="4" w:space="0"/>
              <w:left w:val="single" w:color="auto" w:sz="4" w:space="0"/>
              <w:bottom w:val="single" w:color="auto" w:sz="4" w:space="0"/>
              <w:right w:val="single" w:color="auto" w:sz="4" w:space="0"/>
            </w:tcBorders>
            <w:noWrap w:val="0"/>
            <w:vAlign w:val="center"/>
          </w:tcPr>
          <w:p w14:paraId="59E541FD">
            <w:pPr>
              <w:jc w:val="center"/>
              <w:rPr>
                <w:rFonts w:hint="eastAsia" w:ascii="宋体" w:hAnsi="宋体" w:cs="仿宋_GB2312"/>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20CA103">
            <w:pPr>
              <w:jc w:val="center"/>
              <w:rPr>
                <w:rFonts w:hint="eastAsia" w:ascii="宋体" w:hAnsi="宋体" w:cs="仿宋_GB2312"/>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1DC9178">
            <w:pPr>
              <w:jc w:val="center"/>
              <w:rPr>
                <w:rFonts w:hint="eastAsia" w:ascii="宋体" w:hAnsi="宋体" w:cs="仿宋_GB2312"/>
                <w:color w:val="auto"/>
                <w:sz w:val="24"/>
                <w:highlight w:val="none"/>
              </w:rPr>
            </w:pPr>
          </w:p>
        </w:tc>
      </w:tr>
    </w:tbl>
    <w:p w14:paraId="7194EFFD">
      <w:pPr>
        <w:tabs>
          <w:tab w:val="left" w:pos="7560"/>
        </w:tabs>
        <w:spacing w:before="62" w:beforeLines="20" w:after="62" w:afterLines="20" w:line="360" w:lineRule="auto"/>
        <w:jc w:val="center"/>
        <w:rPr>
          <w:rFonts w:hint="eastAsia" w:ascii="宋体" w:hAnsi="宋体"/>
          <w:b/>
          <w:bCs/>
          <w:color w:val="auto"/>
          <w:sz w:val="28"/>
          <w:szCs w:val="28"/>
          <w:highlight w:val="none"/>
        </w:rPr>
      </w:pPr>
    </w:p>
    <w:p w14:paraId="6B7D6614">
      <w:pPr>
        <w:pStyle w:val="27"/>
        <w:spacing w:line="360" w:lineRule="auto"/>
        <w:jc w:val="center"/>
        <w:rPr>
          <w:rFonts w:hint="eastAsia" w:hAnsi="宋体"/>
          <w:b/>
          <w:color w:val="auto"/>
          <w:sz w:val="28"/>
          <w:szCs w:val="28"/>
          <w:highlight w:val="none"/>
        </w:rPr>
      </w:pPr>
      <w:r>
        <w:rPr>
          <w:rFonts w:hint="eastAsia" w:hAnsi="宋体"/>
          <w:b/>
          <w:color w:val="auto"/>
          <w:sz w:val="28"/>
          <w:szCs w:val="28"/>
          <w:highlight w:val="none"/>
        </w:rPr>
        <w:t>企业业绩证明材料（如有）</w:t>
      </w:r>
    </w:p>
    <w:p w14:paraId="559A8865">
      <w:pPr>
        <w:tabs>
          <w:tab w:val="left" w:pos="7560"/>
        </w:tabs>
        <w:spacing w:before="62" w:beforeLines="20" w:after="62" w:afterLines="20" w:line="360" w:lineRule="auto"/>
        <w:jc w:val="center"/>
        <w:rPr>
          <w:rFonts w:hint="eastAsia" w:ascii="宋体" w:hAnsi="宋体"/>
          <w:b/>
          <w:bCs/>
          <w:color w:val="auto"/>
          <w:sz w:val="28"/>
          <w:szCs w:val="28"/>
          <w:highlight w:val="none"/>
        </w:rPr>
      </w:pPr>
      <w:r>
        <w:rPr>
          <w:rFonts w:hint="eastAsia" w:ascii="宋体" w:hAnsi="宋体" w:cs="仿宋_GB2312"/>
          <w:color w:val="auto"/>
          <w:sz w:val="24"/>
          <w:highlight w:val="none"/>
        </w:rPr>
        <w:t>（投标人根据招标文件要求放入与业绩情况一览表对应的业绩证明材料）</w:t>
      </w:r>
    </w:p>
    <w:p w14:paraId="4C464DEA">
      <w:pPr>
        <w:pStyle w:val="13"/>
        <w:ind w:firstLine="562"/>
        <w:jc w:val="center"/>
        <w:rPr>
          <w:rFonts w:hint="eastAsia" w:ascii="宋体" w:hAnsi="宋体" w:cs="仿宋_GB2312"/>
          <w:b/>
          <w:color w:val="auto"/>
          <w:sz w:val="28"/>
          <w:szCs w:val="28"/>
          <w:highlight w:val="none"/>
        </w:rPr>
      </w:pPr>
    </w:p>
    <w:p w14:paraId="7C94211E">
      <w:pPr>
        <w:pStyle w:val="72"/>
        <w:ind w:firstLine="400"/>
        <w:rPr>
          <w:color w:val="auto"/>
          <w:highlight w:val="none"/>
        </w:rPr>
      </w:pPr>
    </w:p>
    <w:p w14:paraId="3E56314F">
      <w:pPr>
        <w:pStyle w:val="27"/>
        <w:spacing w:line="360" w:lineRule="auto"/>
        <w:jc w:val="center"/>
        <w:rPr>
          <w:rFonts w:hAnsi="宋体"/>
          <w:b/>
          <w:color w:val="auto"/>
          <w:sz w:val="24"/>
          <w:szCs w:val="24"/>
          <w:highlight w:val="none"/>
        </w:rPr>
      </w:pPr>
      <w:r>
        <w:rPr>
          <w:rFonts w:hint="eastAsia" w:hAnsi="宋体" w:cs="仿宋_GB2312"/>
          <w:b/>
          <w:bCs/>
          <w:color w:val="auto"/>
          <w:sz w:val="28"/>
          <w:szCs w:val="28"/>
          <w:highlight w:val="none"/>
        </w:rPr>
        <w:br w:type="page"/>
      </w:r>
      <w:r>
        <w:rPr>
          <w:rFonts w:hint="eastAsia" w:hAnsi="宋体"/>
          <w:b/>
          <w:color w:val="auto"/>
          <w:sz w:val="28"/>
          <w:szCs w:val="28"/>
          <w:highlight w:val="none"/>
        </w:rPr>
        <w:t>（1</w:t>
      </w:r>
      <w:r>
        <w:rPr>
          <w:rFonts w:hint="eastAsia" w:hAnsi="宋体"/>
          <w:b/>
          <w:color w:val="auto"/>
          <w:sz w:val="28"/>
          <w:szCs w:val="28"/>
          <w:highlight w:val="none"/>
          <w:lang w:val="en-US" w:eastAsia="zh-CN"/>
        </w:rPr>
        <w:t>0</w:t>
      </w:r>
      <w:r>
        <w:rPr>
          <w:rFonts w:hint="eastAsia" w:hAnsi="宋体"/>
          <w:b/>
          <w:color w:val="auto"/>
          <w:sz w:val="28"/>
          <w:szCs w:val="28"/>
          <w:highlight w:val="none"/>
        </w:rPr>
        <w:t>）投 标 函</w:t>
      </w:r>
    </w:p>
    <w:p w14:paraId="4969A6C8">
      <w:pPr>
        <w:spacing w:before="62" w:beforeLines="20" w:after="62" w:afterLines="20" w:line="360" w:lineRule="auto"/>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致：</w:t>
      </w:r>
      <w:r>
        <w:rPr>
          <w:rFonts w:hint="eastAsia" w:ascii="仿宋" w:hAnsi="仿宋" w:eastAsia="仿宋" w:cs="仿宋"/>
          <w:color w:val="auto"/>
          <w:sz w:val="28"/>
          <w:szCs w:val="28"/>
          <w:highlight w:val="none"/>
          <w:u w:val="single"/>
        </w:rPr>
        <w:t xml:space="preserve">   {招标人名称}   </w:t>
      </w:r>
    </w:p>
    <w:p w14:paraId="4C2638EE">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根据贵方</w:t>
      </w:r>
      <w:r>
        <w:rPr>
          <w:rFonts w:hint="eastAsia" w:ascii="仿宋" w:hAnsi="仿宋" w:eastAsia="仿宋" w:cs="仿宋"/>
          <w:color w:val="auto"/>
          <w:sz w:val="28"/>
          <w:szCs w:val="28"/>
          <w:highlight w:val="none"/>
          <w:u w:val="single"/>
        </w:rPr>
        <w:t xml:space="preserve">  {项目编号}  </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u w:val="single"/>
        </w:rPr>
        <w:t xml:space="preserve">  {招标项目名称}</w:t>
      </w:r>
      <w:r>
        <w:rPr>
          <w:rFonts w:hint="eastAsia" w:ascii="仿宋" w:hAnsi="仿宋" w:eastAsia="仿宋" w:cs="仿宋"/>
          <w:color w:val="auto"/>
          <w:sz w:val="28"/>
          <w:szCs w:val="28"/>
          <w:highlight w:val="none"/>
        </w:rPr>
        <w:t>的招标文件，我方针对该项目的</w:t>
      </w:r>
      <w:r>
        <w:rPr>
          <w:rFonts w:hint="eastAsia" w:ascii="仿宋" w:hAnsi="仿宋" w:eastAsia="仿宋" w:cs="仿宋"/>
          <w:b/>
          <w:color w:val="auto"/>
          <w:sz w:val="28"/>
          <w:szCs w:val="28"/>
          <w:highlight w:val="none"/>
        </w:rPr>
        <w:t>投标报价为：</w:t>
      </w:r>
      <w:r>
        <w:rPr>
          <w:rFonts w:hint="eastAsia" w:ascii="仿宋" w:hAnsi="仿宋" w:eastAsia="仿宋" w:cs="仿宋"/>
          <w:color w:val="auto"/>
          <w:sz w:val="28"/>
          <w:szCs w:val="28"/>
          <w:highlight w:val="none"/>
        </w:rPr>
        <w:t>人民币（大写）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（小写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并正式授权的下述签字人</w:t>
      </w:r>
      <w:r>
        <w:rPr>
          <w:rFonts w:hint="eastAsia" w:ascii="仿宋" w:hAnsi="仿宋" w:eastAsia="仿宋" w:cs="仿宋"/>
          <w:color w:val="auto"/>
          <w:sz w:val="28"/>
          <w:szCs w:val="28"/>
          <w:highlight w:val="none"/>
          <w:u w:val="single"/>
        </w:rPr>
        <w:t xml:space="preserve">            （姓名、职务）</w:t>
      </w:r>
      <w:r>
        <w:rPr>
          <w:rFonts w:hint="eastAsia" w:ascii="仿宋" w:hAnsi="仿宋" w:eastAsia="仿宋" w:cs="仿宋"/>
          <w:color w:val="auto"/>
          <w:sz w:val="28"/>
          <w:szCs w:val="28"/>
          <w:highlight w:val="none"/>
        </w:rPr>
        <w:t>代表</w:t>
      </w:r>
      <w:r>
        <w:rPr>
          <w:rFonts w:hint="eastAsia" w:ascii="仿宋" w:hAnsi="仿宋" w:eastAsia="仿宋" w:cs="仿宋"/>
          <w:color w:val="auto"/>
          <w:sz w:val="28"/>
          <w:szCs w:val="28"/>
          <w:highlight w:val="none"/>
          <w:u w:val="single"/>
        </w:rPr>
        <w:t xml:space="preserve">               （投标人名称） </w:t>
      </w:r>
      <w:r>
        <w:rPr>
          <w:rFonts w:hint="eastAsia" w:ascii="仿宋" w:hAnsi="仿宋" w:eastAsia="仿宋" w:cs="仿宋"/>
          <w:color w:val="auto"/>
          <w:sz w:val="28"/>
          <w:szCs w:val="28"/>
          <w:highlight w:val="none"/>
        </w:rPr>
        <w:t>，提交招标文件要求的全套投标文件，包括：</w:t>
      </w:r>
    </w:p>
    <w:p w14:paraId="55AD94DA">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1、招标文件中要求的投标文件；</w:t>
      </w:r>
    </w:p>
    <w:p w14:paraId="108666B5">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2、其他资料。</w:t>
      </w:r>
    </w:p>
    <w:p w14:paraId="4D23F67D">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据此函，签字人兹宣布同意如下：</w:t>
      </w:r>
    </w:p>
    <w:p w14:paraId="7FA3F0B6">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1、我方已详细审核并确认全部招标文件，包括修改文件（如有时）及有关附件。</w:t>
      </w:r>
    </w:p>
    <w:p w14:paraId="112C0C54">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2、我方将按照投标文件中的承诺组建项目组，由投标文件所承诺的人员完成本项目的全部工作，保证在未征得招标人同意的前提下不变更主要人员，保证按</w:t>
      </w:r>
      <w:r>
        <w:rPr>
          <w:rFonts w:hint="eastAsia" w:ascii="仿宋" w:hAnsi="仿宋" w:eastAsia="仿宋" w:cs="仿宋"/>
          <w:color w:val="auto"/>
          <w:sz w:val="28"/>
          <w:szCs w:val="28"/>
          <w:highlight w:val="none"/>
          <w:lang w:val="en-US" w:eastAsia="zh-CN"/>
        </w:rPr>
        <w:t>招标文件服务</w:t>
      </w:r>
      <w:r>
        <w:rPr>
          <w:rFonts w:hint="eastAsia" w:ascii="仿宋" w:hAnsi="仿宋" w:eastAsia="仿宋" w:cs="仿宋"/>
          <w:color w:val="auto"/>
          <w:sz w:val="28"/>
          <w:szCs w:val="28"/>
          <w:highlight w:val="none"/>
        </w:rPr>
        <w:t>周期</w:t>
      </w:r>
      <w:r>
        <w:rPr>
          <w:rFonts w:hint="eastAsia" w:ascii="仿宋" w:hAnsi="仿宋" w:eastAsia="仿宋" w:cs="仿宋"/>
          <w:color w:val="auto"/>
          <w:sz w:val="28"/>
          <w:szCs w:val="28"/>
          <w:highlight w:val="none"/>
          <w:lang w:val="en-US" w:eastAsia="zh-CN"/>
        </w:rPr>
        <w:t>要求</w:t>
      </w:r>
      <w:r>
        <w:rPr>
          <w:rFonts w:hint="eastAsia" w:ascii="仿宋" w:hAnsi="仿宋" w:eastAsia="仿宋" w:cs="仿宋"/>
          <w:color w:val="auto"/>
          <w:sz w:val="28"/>
          <w:szCs w:val="28"/>
          <w:highlight w:val="none"/>
        </w:rPr>
        <w:t>完成。</w:t>
      </w:r>
    </w:p>
    <w:p w14:paraId="6DA9FF69">
      <w:pPr>
        <w:spacing w:line="38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3、其他补充说明：（补充说明事项）</w:t>
      </w:r>
    </w:p>
    <w:p w14:paraId="6B826D41">
      <w:pPr>
        <w:adjustRightInd w:val="0"/>
        <w:snapToGrid w:val="0"/>
        <w:spacing w:before="62" w:beforeLines="20" w:after="62" w:afterLines="2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投 标 人：</w:t>
      </w:r>
      <w:r>
        <w:rPr>
          <w:rFonts w:hint="eastAsia" w:ascii="仿宋" w:hAnsi="仿宋" w:eastAsia="仿宋" w:cs="仿宋"/>
          <w:color w:val="auto"/>
          <w:sz w:val="28"/>
          <w:szCs w:val="28"/>
          <w:highlight w:val="none"/>
          <w:u w:val="single"/>
        </w:rPr>
        <w:t xml:space="preserve">      名称   （盖章）</w:t>
      </w:r>
    </w:p>
    <w:p w14:paraId="44471B8B">
      <w:pPr>
        <w:pStyle w:val="21"/>
        <w:adjustRightInd w:val="0"/>
        <w:snapToGrid w:val="0"/>
        <w:spacing w:before="62" w:beforeLines="20" w:beforeAutospacing="0" w:after="62" w:afterLines="20" w:afterAutospacing="0"/>
        <w:ind w:left="140" w:leftChars="11" w:hanging="114" w:hangingChars="41"/>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单位地址：</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u w:val="single"/>
        </w:rPr>
        <w:t xml:space="preserve">                                                    </w:t>
      </w:r>
    </w:p>
    <w:p w14:paraId="2475A381">
      <w:pPr>
        <w:adjustRightInd w:val="0"/>
        <w:snapToGrid w:val="0"/>
        <w:spacing w:before="62" w:beforeLines="20" w:after="62" w:afterLines="2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法定代表人或其委托代理人：</w:t>
      </w:r>
      <w:r>
        <w:rPr>
          <w:rFonts w:hint="eastAsia" w:ascii="仿宋" w:hAnsi="仿宋" w:eastAsia="仿宋" w:cs="仿宋"/>
          <w:color w:val="auto"/>
          <w:sz w:val="28"/>
          <w:szCs w:val="28"/>
          <w:highlight w:val="none"/>
          <w:u w:val="single"/>
        </w:rPr>
        <w:t xml:space="preserve">    （签字或盖章）</w:t>
      </w:r>
    </w:p>
    <w:p w14:paraId="4BC3596D">
      <w:pPr>
        <w:adjustRightInd w:val="0"/>
        <w:snapToGrid w:val="0"/>
        <w:spacing w:before="62" w:beforeLines="20" w:after="62" w:afterLines="2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邮政编码：</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rPr>
        <w:t>电话：</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rPr>
        <w:t xml:space="preserve"> 传真：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14:paraId="3A705EA1">
      <w:pPr>
        <w:adjustRightInd w:val="0"/>
        <w:snapToGrid w:val="0"/>
        <w:spacing w:before="62" w:beforeLines="20" w:after="62" w:afterLines="2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开户银行名称：</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rPr>
        <w:t>开户银行账号：</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 xml:space="preserve">     </w:t>
      </w:r>
    </w:p>
    <w:p w14:paraId="15A93FE5">
      <w:pPr>
        <w:adjustRightInd w:val="0"/>
        <w:snapToGrid w:val="0"/>
        <w:spacing w:before="62" w:beforeLines="20" w:after="62" w:afterLines="2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14:paraId="28888A87">
      <w:pPr>
        <w:spacing w:line="360" w:lineRule="auto"/>
        <w:rPr>
          <w:rFonts w:ascii="宋体" w:hAnsi="宋体"/>
          <w:color w:val="auto"/>
          <w:highlight w:val="none"/>
        </w:rPr>
      </w:pPr>
    </w:p>
    <w:p w14:paraId="7D9DBBE3">
      <w:pPr>
        <w:tabs>
          <w:tab w:val="left" w:pos="7560"/>
        </w:tabs>
        <w:adjustRightInd w:val="0"/>
        <w:spacing w:before="62" w:beforeLines="20" w:after="62" w:afterLines="20"/>
        <w:ind w:firstLine="562" w:firstLineChars="200"/>
        <w:jc w:val="center"/>
        <w:rPr>
          <w:rFonts w:hint="eastAsia" w:hAnsi="宋体"/>
          <w:b/>
          <w:color w:val="auto"/>
          <w:sz w:val="28"/>
          <w:szCs w:val="28"/>
          <w:highlight w:val="none"/>
        </w:rPr>
      </w:pPr>
    </w:p>
    <w:p w14:paraId="4A10CFB7">
      <w:pPr>
        <w:pStyle w:val="27"/>
        <w:spacing w:line="360" w:lineRule="auto"/>
        <w:jc w:val="center"/>
        <w:rPr>
          <w:rFonts w:hint="eastAsia"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br w:type="page"/>
      </w:r>
      <w:r>
        <w:rPr>
          <w:rFonts w:hint="eastAsia" w:ascii="宋体" w:hAnsi="宋体" w:eastAsia="宋体" w:cs="Times New Roman"/>
          <w:b/>
          <w:color w:val="auto"/>
          <w:sz w:val="28"/>
          <w:szCs w:val="28"/>
          <w:highlight w:val="none"/>
        </w:rPr>
        <w:t>（1</w:t>
      </w:r>
      <w:r>
        <w:rPr>
          <w:rFonts w:hint="eastAsia" w:ascii="宋体" w:hAnsi="宋体" w:cs="Times New Roman"/>
          <w:b/>
          <w:color w:val="auto"/>
          <w:sz w:val="28"/>
          <w:szCs w:val="28"/>
          <w:highlight w:val="none"/>
          <w:lang w:val="en-US" w:eastAsia="zh-CN"/>
        </w:rPr>
        <w:t>1</w:t>
      </w:r>
      <w:r>
        <w:rPr>
          <w:rFonts w:hint="eastAsia" w:ascii="宋体" w:hAnsi="宋体" w:eastAsia="宋体" w:cs="Times New Roman"/>
          <w:b/>
          <w:color w:val="auto"/>
          <w:sz w:val="28"/>
          <w:szCs w:val="28"/>
          <w:highlight w:val="none"/>
        </w:rPr>
        <w:t>）报价表</w:t>
      </w:r>
    </w:p>
    <w:p w14:paraId="5AD3313E">
      <w:pPr>
        <w:pStyle w:val="19"/>
        <w:spacing w:before="9"/>
        <w:rPr>
          <w:rFonts w:ascii="宋体" w:hAnsi="宋体" w:cs="宋体"/>
          <w:b/>
          <w:color w:val="auto"/>
          <w:sz w:val="3"/>
          <w:highlight w:val="none"/>
        </w:rPr>
      </w:pPr>
    </w:p>
    <w:tbl>
      <w:tblPr>
        <w:tblStyle w:val="54"/>
        <w:tblW w:w="9019" w:type="dxa"/>
        <w:tblInd w:w="-2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7"/>
        <w:gridCol w:w="1949"/>
        <w:gridCol w:w="2316"/>
        <w:gridCol w:w="2037"/>
        <w:gridCol w:w="2030"/>
      </w:tblGrid>
      <w:tr w14:paraId="7C88E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687" w:type="dxa"/>
            <w:tcBorders>
              <w:top w:val="single" w:color="auto" w:sz="4" w:space="0"/>
              <w:left w:val="single" w:color="auto" w:sz="4" w:space="0"/>
              <w:bottom w:val="single" w:color="auto" w:sz="4" w:space="0"/>
              <w:right w:val="single" w:color="auto" w:sz="4" w:space="0"/>
            </w:tcBorders>
            <w:noWrap w:val="0"/>
            <w:vAlign w:val="center"/>
          </w:tcPr>
          <w:p w14:paraId="7D598713">
            <w:pPr>
              <w:keepNext w:val="0"/>
              <w:keepLines w:val="0"/>
              <w:widowControl/>
              <w:suppressLineNumbers w:val="0"/>
              <w:jc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949" w:type="dxa"/>
            <w:tcBorders>
              <w:top w:val="single" w:color="auto" w:sz="4" w:space="0"/>
              <w:left w:val="single" w:color="auto" w:sz="4" w:space="0"/>
              <w:bottom w:val="single" w:color="auto" w:sz="4" w:space="0"/>
              <w:right w:val="single" w:color="auto" w:sz="4" w:space="0"/>
            </w:tcBorders>
            <w:noWrap w:val="0"/>
            <w:vAlign w:val="center"/>
          </w:tcPr>
          <w:p w14:paraId="53B33704">
            <w:pPr>
              <w:keepNext w:val="0"/>
              <w:keepLines w:val="0"/>
              <w:widowControl/>
              <w:suppressLineNumbers w:val="0"/>
              <w:jc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项目内容</w:t>
            </w:r>
          </w:p>
        </w:tc>
        <w:tc>
          <w:tcPr>
            <w:tcW w:w="2316" w:type="dxa"/>
            <w:tcBorders>
              <w:top w:val="single" w:color="auto" w:sz="4" w:space="0"/>
              <w:left w:val="single" w:color="auto" w:sz="4" w:space="0"/>
              <w:bottom w:val="single" w:color="auto" w:sz="4" w:space="0"/>
              <w:right w:val="single" w:color="auto" w:sz="4" w:space="0"/>
            </w:tcBorders>
            <w:noWrap w:val="0"/>
            <w:vAlign w:val="center"/>
          </w:tcPr>
          <w:p w14:paraId="61246C7A">
            <w:pPr>
              <w:keepNext w:val="0"/>
              <w:keepLines w:val="0"/>
              <w:widowControl/>
              <w:suppressLineNumbers w:val="0"/>
              <w:jc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数量（m）</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7258FC6B">
            <w:pPr>
              <w:keepNext w:val="0"/>
              <w:keepLines w:val="0"/>
              <w:widowControl/>
              <w:suppressLineNumbers w:val="0"/>
              <w:jc w:val="center"/>
              <w:rPr>
                <w:rFonts w:hint="default"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i w:val="0"/>
                <w:iCs w:val="0"/>
                <w:color w:val="auto"/>
                <w:sz w:val="24"/>
                <w:szCs w:val="24"/>
                <w:highlight w:val="none"/>
                <w:u w:val="none"/>
                <w:lang w:val="en-US" w:eastAsia="zh-CN"/>
              </w:rPr>
              <w:t>全费用综合单价(元）</w:t>
            </w:r>
          </w:p>
        </w:tc>
        <w:tc>
          <w:tcPr>
            <w:tcW w:w="2030" w:type="dxa"/>
            <w:tcBorders>
              <w:top w:val="single" w:color="auto" w:sz="4" w:space="0"/>
              <w:left w:val="single" w:color="auto" w:sz="4" w:space="0"/>
              <w:bottom w:val="single" w:color="auto" w:sz="4" w:space="0"/>
              <w:right w:val="single" w:color="auto" w:sz="4" w:space="0"/>
            </w:tcBorders>
            <w:noWrap w:val="0"/>
            <w:vAlign w:val="center"/>
          </w:tcPr>
          <w:p w14:paraId="03DA4777">
            <w:pPr>
              <w:keepNext w:val="0"/>
              <w:keepLines w:val="0"/>
              <w:widowControl/>
              <w:suppressLineNumbers w:val="0"/>
              <w:jc w:val="center"/>
              <w:rPr>
                <w:rFonts w:hint="default"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i w:val="0"/>
                <w:iCs w:val="0"/>
                <w:color w:val="auto"/>
                <w:kern w:val="0"/>
                <w:sz w:val="24"/>
                <w:szCs w:val="24"/>
                <w:highlight w:val="none"/>
                <w:u w:val="none"/>
                <w:lang w:val="en-US" w:eastAsia="zh-CN" w:bidi="ar"/>
              </w:rPr>
              <w:t>合计（元）</w:t>
            </w:r>
          </w:p>
        </w:tc>
      </w:tr>
      <w:tr w14:paraId="062EC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87" w:type="dxa"/>
            <w:tcBorders>
              <w:top w:val="single" w:color="auto" w:sz="4" w:space="0"/>
              <w:left w:val="single" w:color="auto" w:sz="4" w:space="0"/>
              <w:bottom w:val="single" w:color="auto" w:sz="4" w:space="0"/>
              <w:right w:val="single" w:color="auto" w:sz="4" w:space="0"/>
            </w:tcBorders>
            <w:noWrap w:val="0"/>
            <w:vAlign w:val="center"/>
          </w:tcPr>
          <w:p w14:paraId="092921D5">
            <w:pPr>
              <w:keepNext w:val="0"/>
              <w:keepLines w:val="0"/>
              <w:widowControl/>
              <w:suppressLineNumbers w:val="0"/>
              <w:jc w:val="center"/>
              <w:rPr>
                <w:rFonts w:hint="default"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1</w:t>
            </w:r>
          </w:p>
        </w:tc>
        <w:tc>
          <w:tcPr>
            <w:tcW w:w="1949" w:type="dxa"/>
            <w:tcBorders>
              <w:top w:val="single" w:color="auto" w:sz="4" w:space="0"/>
              <w:left w:val="single" w:color="auto" w:sz="4" w:space="0"/>
              <w:bottom w:val="single" w:color="auto" w:sz="4" w:space="0"/>
              <w:right w:val="single" w:color="auto" w:sz="4" w:space="0"/>
            </w:tcBorders>
            <w:noWrap w:val="0"/>
            <w:vAlign w:val="center"/>
          </w:tcPr>
          <w:p w14:paraId="1EF10E1B">
            <w:pPr>
              <w:keepNext w:val="0"/>
              <w:keepLines w:val="0"/>
              <w:widowControl/>
              <w:suppressLineNumbers w:val="0"/>
              <w:jc w:val="center"/>
              <w:rPr>
                <w:rFonts w:hint="default" w:ascii="宋体" w:hAnsi="宋体" w:eastAsia="宋体" w:cs="宋体"/>
                <w:b w:val="0"/>
                <w:bCs w:val="0"/>
                <w:i w:val="0"/>
                <w:iCs w:val="0"/>
                <w:color w:val="auto"/>
                <w:kern w:val="0"/>
                <w:sz w:val="22"/>
                <w:szCs w:val="22"/>
                <w:highlight w:val="none"/>
                <w:u w:val="none"/>
                <w:lang w:val="en-US" w:eastAsia="zh-CN" w:bidi="ar"/>
              </w:rPr>
            </w:pPr>
            <w:r>
              <w:rPr>
                <w:rFonts w:hint="eastAsia" w:ascii="宋体" w:hAnsi="宋体" w:eastAsia="宋体" w:cs="宋体"/>
                <w:i w:val="0"/>
                <w:iCs w:val="0"/>
                <w:color w:val="auto"/>
                <w:sz w:val="22"/>
                <w:szCs w:val="22"/>
                <w:highlight w:val="none"/>
                <w:u w:val="none"/>
                <w:lang w:val="en-US" w:eastAsia="zh-CN"/>
              </w:rPr>
              <w:t>CCTV检测费</w:t>
            </w:r>
          </w:p>
        </w:tc>
        <w:tc>
          <w:tcPr>
            <w:tcW w:w="23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63CC53">
            <w:pPr>
              <w:keepNext w:val="0"/>
              <w:keepLines w:val="0"/>
              <w:widowControl/>
              <w:suppressLineNumbers w:val="0"/>
              <w:jc w:val="right"/>
              <w:rPr>
                <w:rFonts w:hint="default"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 xml:space="preserve">47341.00 </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5CCB2FF5">
            <w:pPr>
              <w:keepNext w:val="0"/>
              <w:keepLines w:val="0"/>
              <w:widowControl/>
              <w:suppressLineNumbers w:val="0"/>
              <w:jc w:val="center"/>
              <w:rPr>
                <w:rFonts w:hint="default" w:ascii="宋体" w:hAnsi="宋体" w:eastAsia="宋体" w:cs="宋体"/>
                <w:b w:val="0"/>
                <w:bCs w:val="0"/>
                <w:i w:val="0"/>
                <w:iCs w:val="0"/>
                <w:color w:val="auto"/>
                <w:kern w:val="0"/>
                <w:sz w:val="22"/>
                <w:szCs w:val="22"/>
                <w:highlight w:val="none"/>
                <w:u w:val="none"/>
                <w:lang w:val="en-US" w:eastAsia="zh-CN" w:bidi="ar"/>
              </w:rPr>
            </w:pPr>
          </w:p>
        </w:tc>
        <w:tc>
          <w:tcPr>
            <w:tcW w:w="2030" w:type="dxa"/>
            <w:tcBorders>
              <w:top w:val="single" w:color="auto" w:sz="4" w:space="0"/>
              <w:left w:val="single" w:color="auto" w:sz="4" w:space="0"/>
              <w:right w:val="single" w:color="auto" w:sz="4" w:space="0"/>
            </w:tcBorders>
            <w:noWrap w:val="0"/>
            <w:vAlign w:val="center"/>
          </w:tcPr>
          <w:p w14:paraId="54FD6FEC">
            <w:pPr>
              <w:keepNext w:val="0"/>
              <w:keepLines w:val="0"/>
              <w:widowControl/>
              <w:suppressLineNumbers w:val="0"/>
              <w:jc w:val="center"/>
              <w:rPr>
                <w:rFonts w:hint="eastAsia" w:ascii="宋体" w:hAnsi="宋体" w:eastAsia="宋体" w:cs="宋体"/>
                <w:b/>
                <w:bCs/>
                <w:i w:val="0"/>
                <w:iCs w:val="0"/>
                <w:color w:val="auto"/>
                <w:kern w:val="0"/>
                <w:sz w:val="20"/>
                <w:szCs w:val="20"/>
                <w:highlight w:val="none"/>
                <w:u w:val="none"/>
                <w:lang w:val="en-US" w:eastAsia="zh-CN" w:bidi="ar"/>
              </w:rPr>
            </w:pPr>
          </w:p>
        </w:tc>
      </w:tr>
      <w:tr w14:paraId="6FC70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9019" w:type="dxa"/>
            <w:gridSpan w:val="5"/>
            <w:tcBorders>
              <w:top w:val="single" w:color="auto" w:sz="4" w:space="0"/>
              <w:left w:val="single" w:color="auto" w:sz="4" w:space="0"/>
              <w:bottom w:val="single" w:color="auto" w:sz="4" w:space="0"/>
              <w:right w:val="single" w:color="auto" w:sz="4" w:space="0"/>
            </w:tcBorders>
            <w:noWrap w:val="0"/>
            <w:vAlign w:val="center"/>
          </w:tcPr>
          <w:p w14:paraId="08F92429">
            <w:pPr>
              <w:keepNext w:val="0"/>
              <w:keepLines w:val="0"/>
              <w:widowControl/>
              <w:suppressLineNumbers w:val="0"/>
              <w:jc w:val="left"/>
              <w:rPr>
                <w:rFonts w:hint="default"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华文仿宋"/>
                <w:color w:val="auto"/>
                <w:sz w:val="28"/>
                <w:szCs w:val="28"/>
                <w:highlight w:val="none"/>
                <w:lang w:val="en-US" w:eastAsia="zh-CN"/>
              </w:rPr>
              <w:t>总价：</w:t>
            </w:r>
          </w:p>
        </w:tc>
      </w:tr>
      <w:tr w14:paraId="79965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9019" w:type="dxa"/>
            <w:gridSpan w:val="5"/>
            <w:tcBorders>
              <w:top w:val="single" w:color="auto" w:sz="4" w:space="0"/>
              <w:left w:val="single" w:color="auto" w:sz="4" w:space="0"/>
              <w:bottom w:val="single" w:color="auto" w:sz="4" w:space="0"/>
              <w:right w:val="single" w:color="auto" w:sz="4" w:space="0"/>
            </w:tcBorders>
            <w:noWrap w:val="0"/>
            <w:vAlign w:val="center"/>
          </w:tcPr>
          <w:p w14:paraId="31BFA50E">
            <w:pPr>
              <w:keepNext w:val="0"/>
              <w:keepLines w:val="0"/>
              <w:widowControl/>
              <w:suppressLineNumbers w:val="0"/>
              <w:jc w:val="left"/>
              <w:rPr>
                <w:rFonts w:hint="default" w:ascii="宋体" w:hAnsi="宋体" w:eastAsia="宋体" w:cs="宋体"/>
                <w:b/>
                <w:bCs/>
                <w:i w:val="0"/>
                <w:iCs w:val="0"/>
                <w:color w:val="auto"/>
                <w:kern w:val="0"/>
                <w:sz w:val="20"/>
                <w:szCs w:val="20"/>
                <w:highlight w:val="none"/>
                <w:u w:val="none"/>
                <w:lang w:val="en-US" w:eastAsia="zh-CN" w:bidi="ar"/>
              </w:rPr>
            </w:pPr>
            <w:r>
              <w:rPr>
                <w:rFonts w:hint="eastAsia" w:ascii="宋体" w:hAnsi="宋体" w:cs="华文仿宋"/>
                <w:color w:val="auto"/>
                <w:sz w:val="28"/>
                <w:szCs w:val="28"/>
                <w:highlight w:val="none"/>
                <w:lang w:val="en-US" w:eastAsia="zh-CN"/>
              </w:rPr>
              <w:t>工期</w:t>
            </w:r>
            <w:r>
              <w:rPr>
                <w:rFonts w:hint="eastAsia" w:ascii="宋体" w:hAnsi="宋体" w:cs="华文仿宋"/>
                <w:color w:val="auto"/>
                <w:sz w:val="28"/>
                <w:szCs w:val="28"/>
                <w:highlight w:val="none"/>
              </w:rPr>
              <w:t>：</w:t>
            </w:r>
          </w:p>
        </w:tc>
      </w:tr>
      <w:tr w14:paraId="66427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9019" w:type="dxa"/>
            <w:gridSpan w:val="5"/>
            <w:tcBorders>
              <w:top w:val="single" w:color="auto" w:sz="4" w:space="0"/>
              <w:left w:val="single" w:color="auto" w:sz="4" w:space="0"/>
              <w:bottom w:val="single" w:color="auto" w:sz="4" w:space="0"/>
              <w:right w:val="single" w:color="auto" w:sz="4" w:space="0"/>
            </w:tcBorders>
            <w:noWrap w:val="0"/>
            <w:vAlign w:val="center"/>
          </w:tcPr>
          <w:p w14:paraId="54AD4868">
            <w:pPr>
              <w:pStyle w:val="49"/>
              <w:shd w:val="clear" w:color="auto" w:fill="FFFFFF"/>
              <w:spacing w:before="0" w:beforeAutospacing="0" w:after="0" w:afterAutospacing="0" w:line="15" w:lineRule="atLeast"/>
              <w:jc w:val="left"/>
              <w:rPr>
                <w:rFonts w:hint="default"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华文仿宋"/>
                <w:b/>
                <w:bCs/>
                <w:color w:val="auto"/>
                <w:kern w:val="2"/>
                <w:sz w:val="24"/>
                <w:szCs w:val="24"/>
                <w:highlight w:val="none"/>
                <w:lang w:val="en-US" w:eastAsia="zh-CN" w:bidi="ar-SA"/>
              </w:rPr>
              <w:t>注：全费用综合单价包括检测服务所需的人工费、材料费、机械设备费、现场观测费、</w:t>
            </w:r>
            <w:r>
              <w:rPr>
                <w:rFonts w:hint="eastAsia" w:cs="华文仿宋"/>
                <w:b/>
                <w:bCs/>
                <w:color w:val="auto"/>
                <w:kern w:val="2"/>
                <w:sz w:val="24"/>
                <w:szCs w:val="24"/>
                <w:highlight w:val="none"/>
                <w:lang w:val="en-US" w:eastAsia="zh-CN" w:bidi="ar-SA"/>
              </w:rPr>
              <w:t>管网测绘、</w:t>
            </w:r>
            <w:r>
              <w:rPr>
                <w:rFonts w:hint="eastAsia" w:ascii="宋体" w:hAnsi="宋体" w:eastAsia="宋体" w:cs="华文仿宋"/>
                <w:b/>
                <w:bCs/>
                <w:color w:val="auto"/>
                <w:kern w:val="2"/>
                <w:sz w:val="24"/>
                <w:szCs w:val="24"/>
                <w:highlight w:val="none"/>
                <w:lang w:val="en-US" w:eastAsia="zh-CN" w:bidi="ar-SA"/>
              </w:rPr>
              <w:t>管道清淤费</w:t>
            </w:r>
            <w:r>
              <w:rPr>
                <w:rFonts w:hint="eastAsia" w:cs="华文仿宋"/>
                <w:b/>
                <w:bCs/>
                <w:color w:val="auto"/>
                <w:kern w:val="2"/>
                <w:sz w:val="24"/>
                <w:szCs w:val="24"/>
                <w:highlight w:val="none"/>
                <w:lang w:val="en-US" w:eastAsia="zh-CN" w:bidi="ar-SA"/>
              </w:rPr>
              <w:t>（包括淤泥外运处置）</w:t>
            </w:r>
            <w:r>
              <w:rPr>
                <w:rFonts w:hint="eastAsia" w:ascii="宋体" w:hAnsi="宋体" w:eastAsia="宋体" w:cs="华文仿宋"/>
                <w:b/>
                <w:bCs/>
                <w:color w:val="auto"/>
                <w:kern w:val="2"/>
                <w:sz w:val="24"/>
                <w:szCs w:val="24"/>
                <w:highlight w:val="none"/>
                <w:lang w:val="en-US" w:eastAsia="zh-CN" w:bidi="ar-SA"/>
              </w:rPr>
              <w:t>、措施费、安全防护费、管道封堵费、</w:t>
            </w:r>
            <w:r>
              <w:rPr>
                <w:rFonts w:hint="eastAsia" w:cs="华文仿宋"/>
                <w:b/>
                <w:bCs/>
                <w:color w:val="auto"/>
                <w:kern w:val="2"/>
                <w:sz w:val="24"/>
                <w:szCs w:val="24"/>
                <w:highlight w:val="none"/>
                <w:lang w:val="en-US" w:eastAsia="zh-CN" w:bidi="ar-SA"/>
              </w:rPr>
              <w:t>现场协调费、青苗补偿费、</w:t>
            </w:r>
            <w:r>
              <w:rPr>
                <w:rFonts w:hint="eastAsia" w:ascii="宋体" w:hAnsi="宋体" w:eastAsia="宋体" w:cs="华文仿宋"/>
                <w:b/>
                <w:bCs/>
                <w:color w:val="auto"/>
                <w:kern w:val="2"/>
                <w:sz w:val="24"/>
                <w:szCs w:val="24"/>
                <w:highlight w:val="none"/>
                <w:lang w:val="en-US" w:eastAsia="zh-CN" w:bidi="ar-SA"/>
              </w:rPr>
              <w:t>管理费、利润、税金、相关的风险费用以及出具录制影像资料及出具成果文件等所需的一切费用。</w:t>
            </w:r>
          </w:p>
        </w:tc>
      </w:tr>
    </w:tbl>
    <w:p w14:paraId="487E1088">
      <w:pPr>
        <w:tabs>
          <w:tab w:val="left" w:pos="7560"/>
        </w:tabs>
        <w:adjustRightInd w:val="0"/>
        <w:spacing w:before="62" w:beforeLines="20" w:after="62" w:afterLines="20"/>
        <w:ind w:firstLine="480" w:firstLineChars="200"/>
        <w:jc w:val="left"/>
        <w:rPr>
          <w:rFonts w:hint="eastAsia" w:hAnsi="宋体"/>
          <w:color w:val="auto"/>
          <w:highlight w:val="none"/>
        </w:rPr>
      </w:pPr>
      <w:r>
        <w:rPr>
          <w:rFonts w:hint="eastAsia" w:hAnsi="宋体"/>
          <w:color w:val="auto"/>
          <w:highlight w:val="none"/>
        </w:rPr>
        <w:t>投标单位：</w:t>
      </w:r>
      <w:r>
        <w:rPr>
          <w:rFonts w:hint="eastAsia" w:hAnsi="宋体"/>
          <w:color w:val="auto"/>
          <w:highlight w:val="none"/>
          <w:u w:val="single"/>
        </w:rPr>
        <w:t xml:space="preserve">                       </w:t>
      </w:r>
      <w:r>
        <w:rPr>
          <w:rFonts w:hint="eastAsia" w:hAnsi="宋体"/>
          <w:color w:val="auto"/>
          <w:highlight w:val="none"/>
        </w:rPr>
        <w:t xml:space="preserve"> （盖章）</w:t>
      </w:r>
    </w:p>
    <w:p w14:paraId="4FDC5E51">
      <w:pPr>
        <w:tabs>
          <w:tab w:val="left" w:pos="7560"/>
        </w:tabs>
        <w:adjustRightInd w:val="0"/>
        <w:spacing w:before="62" w:beforeLines="20" w:after="62" w:afterLines="20"/>
        <w:ind w:firstLine="480" w:firstLineChars="200"/>
        <w:jc w:val="left"/>
        <w:rPr>
          <w:rFonts w:hint="eastAsia" w:hAnsi="宋体"/>
          <w:b/>
          <w:color w:val="auto"/>
          <w:sz w:val="28"/>
          <w:szCs w:val="28"/>
          <w:highlight w:val="none"/>
        </w:rPr>
      </w:pPr>
      <w:r>
        <w:rPr>
          <w:rFonts w:hint="eastAsia" w:hAnsi="宋体"/>
          <w:color w:val="auto"/>
          <w:highlight w:val="none"/>
        </w:rPr>
        <w:t>法定代表人：</w:t>
      </w:r>
      <w:r>
        <w:rPr>
          <w:rFonts w:hint="eastAsia" w:hAnsi="宋体"/>
          <w:color w:val="auto"/>
          <w:highlight w:val="none"/>
          <w:u w:val="single"/>
        </w:rPr>
        <w:t xml:space="preserve">                      </w:t>
      </w:r>
      <w:r>
        <w:rPr>
          <w:rFonts w:hint="eastAsia" w:hAnsi="宋体"/>
          <w:color w:val="auto"/>
          <w:highlight w:val="none"/>
        </w:rPr>
        <w:t>（签名或盖章）</w:t>
      </w:r>
    </w:p>
    <w:p w14:paraId="0B07306F">
      <w:pPr>
        <w:tabs>
          <w:tab w:val="left" w:pos="7560"/>
        </w:tabs>
        <w:adjustRightInd w:val="0"/>
        <w:spacing w:before="62" w:beforeLines="20" w:after="62" w:afterLines="20"/>
        <w:ind w:firstLine="562" w:firstLineChars="200"/>
        <w:jc w:val="center"/>
        <w:rPr>
          <w:rFonts w:hint="eastAsia" w:hAnsi="宋体"/>
          <w:b/>
          <w:color w:val="auto"/>
          <w:sz w:val="28"/>
          <w:szCs w:val="28"/>
          <w:highlight w:val="none"/>
        </w:rPr>
      </w:pPr>
    </w:p>
    <w:p w14:paraId="0BA7D95A">
      <w:pPr>
        <w:tabs>
          <w:tab w:val="left" w:pos="7560"/>
        </w:tabs>
        <w:adjustRightInd w:val="0"/>
        <w:spacing w:before="62" w:beforeLines="20" w:after="62" w:afterLines="20"/>
        <w:ind w:firstLine="562" w:firstLineChars="200"/>
        <w:jc w:val="center"/>
        <w:rPr>
          <w:rFonts w:hint="eastAsia" w:hAnsi="宋体"/>
          <w:b/>
          <w:color w:val="auto"/>
          <w:sz w:val="28"/>
          <w:szCs w:val="28"/>
          <w:highlight w:val="none"/>
        </w:rPr>
      </w:pPr>
      <w:r>
        <w:rPr>
          <w:rFonts w:hint="eastAsia" w:hAnsi="宋体"/>
          <w:b/>
          <w:color w:val="auto"/>
          <w:sz w:val="28"/>
          <w:szCs w:val="28"/>
          <w:highlight w:val="none"/>
        </w:rPr>
        <w:t xml:space="preserve">                年     月     日</w:t>
      </w:r>
    </w:p>
    <w:p w14:paraId="07AED9C8">
      <w:pPr>
        <w:rPr>
          <w:rFonts w:hint="eastAsia" w:ascii="宋体" w:hAnsi="宋体" w:eastAsia="宋体" w:cs="Times New Roman"/>
          <w:b/>
          <w:color w:val="auto"/>
          <w:sz w:val="28"/>
          <w:szCs w:val="28"/>
          <w:highlight w:val="none"/>
          <w:lang w:eastAsia="zh-CN"/>
        </w:rPr>
      </w:pPr>
    </w:p>
    <w:p w14:paraId="0DEC9851">
      <w:pPr>
        <w:rPr>
          <w:rFonts w:hint="eastAsia" w:ascii="宋体" w:hAnsi="宋体" w:eastAsia="宋体" w:cs="Times New Roman"/>
          <w:b/>
          <w:color w:val="auto"/>
          <w:sz w:val="28"/>
          <w:szCs w:val="28"/>
          <w:highlight w:val="none"/>
          <w:lang w:eastAsia="zh-CN"/>
        </w:rPr>
      </w:pPr>
    </w:p>
    <w:p w14:paraId="704C093D">
      <w:pPr>
        <w:rPr>
          <w:rFonts w:hint="eastAsia" w:ascii="宋体" w:hAnsi="宋体" w:eastAsia="宋体" w:cs="Times New Roman"/>
          <w:b/>
          <w:color w:val="auto"/>
          <w:sz w:val="28"/>
          <w:szCs w:val="28"/>
          <w:highlight w:val="none"/>
          <w:lang w:eastAsia="zh-CN"/>
        </w:rPr>
      </w:pPr>
    </w:p>
    <w:p w14:paraId="5F490EE2">
      <w:pPr>
        <w:rPr>
          <w:rFonts w:hint="eastAsia" w:ascii="宋体" w:hAnsi="宋体" w:eastAsia="宋体" w:cs="Times New Roman"/>
          <w:b/>
          <w:color w:val="auto"/>
          <w:sz w:val="28"/>
          <w:szCs w:val="28"/>
          <w:highlight w:val="none"/>
          <w:lang w:eastAsia="zh-CN"/>
        </w:rPr>
      </w:pPr>
    </w:p>
    <w:p w14:paraId="3E70951F">
      <w:pPr>
        <w:rPr>
          <w:rFonts w:hint="eastAsia" w:ascii="宋体" w:hAnsi="宋体" w:eastAsia="宋体" w:cs="Times New Roman"/>
          <w:b/>
          <w:color w:val="auto"/>
          <w:sz w:val="28"/>
          <w:szCs w:val="28"/>
          <w:highlight w:val="none"/>
          <w:lang w:eastAsia="zh-CN"/>
        </w:rPr>
      </w:pPr>
    </w:p>
    <w:p w14:paraId="211981FB">
      <w:pPr>
        <w:rPr>
          <w:rFonts w:hint="default" w:ascii="宋体" w:hAnsi="宋体" w:eastAsia="宋体" w:cs="Times New Roman"/>
          <w:b/>
          <w:color w:val="auto"/>
          <w:sz w:val="28"/>
          <w:szCs w:val="28"/>
          <w:highlight w:val="none"/>
          <w:lang w:val="en-US" w:eastAsia="zh-CN"/>
        </w:rPr>
      </w:pPr>
      <w:r>
        <w:rPr>
          <w:rFonts w:hint="eastAsia" w:ascii="宋体" w:hAnsi="宋体" w:eastAsia="宋体" w:cs="Times New Roman"/>
          <w:b/>
          <w:color w:val="auto"/>
          <w:sz w:val="28"/>
          <w:szCs w:val="28"/>
          <w:highlight w:val="none"/>
          <w:lang w:eastAsia="zh-CN"/>
        </w:rPr>
        <w:t>（</w:t>
      </w:r>
      <w:r>
        <w:rPr>
          <w:rFonts w:hint="eastAsia" w:ascii="宋体" w:hAnsi="宋体" w:eastAsia="宋体" w:cs="Times New Roman"/>
          <w:b/>
          <w:color w:val="auto"/>
          <w:sz w:val="28"/>
          <w:szCs w:val="28"/>
          <w:highlight w:val="none"/>
          <w:lang w:val="en-US" w:eastAsia="zh-CN"/>
        </w:rPr>
        <w:t>1</w:t>
      </w:r>
      <w:r>
        <w:rPr>
          <w:rFonts w:hint="eastAsia" w:hAnsi="宋体" w:cs="Times New Roman"/>
          <w:b/>
          <w:color w:val="auto"/>
          <w:sz w:val="28"/>
          <w:szCs w:val="28"/>
          <w:highlight w:val="none"/>
          <w:lang w:val="en-US" w:eastAsia="zh-CN"/>
        </w:rPr>
        <w:t>2</w:t>
      </w:r>
      <w:r>
        <w:rPr>
          <w:rFonts w:hint="eastAsia" w:ascii="宋体" w:hAnsi="宋体" w:eastAsia="宋体" w:cs="Times New Roman"/>
          <w:b/>
          <w:color w:val="auto"/>
          <w:sz w:val="28"/>
          <w:szCs w:val="28"/>
          <w:highlight w:val="none"/>
          <w:lang w:eastAsia="zh-CN"/>
        </w:rPr>
        <w:t>）</w:t>
      </w:r>
      <w:r>
        <w:rPr>
          <w:rFonts w:hint="eastAsia" w:ascii="宋体" w:hAnsi="宋体" w:eastAsia="宋体" w:cs="Times New Roman"/>
          <w:b/>
          <w:color w:val="auto"/>
          <w:sz w:val="28"/>
          <w:szCs w:val="28"/>
          <w:highlight w:val="none"/>
          <w:lang w:val="en-US" w:eastAsia="zh-CN"/>
        </w:rPr>
        <w:t>检测方案（格式自拟）</w:t>
      </w:r>
    </w:p>
    <w:p w14:paraId="598AE649">
      <w:pPr>
        <w:pStyle w:val="27"/>
        <w:spacing w:line="360" w:lineRule="auto"/>
        <w:jc w:val="center"/>
        <w:rPr>
          <w:rFonts w:hint="eastAsia" w:ascii="宋体" w:hAnsi="宋体" w:eastAsia="宋体" w:cs="Times New Roman"/>
          <w:b/>
          <w:color w:val="auto"/>
          <w:sz w:val="28"/>
          <w:szCs w:val="28"/>
          <w:highlight w:val="none"/>
          <w:lang w:eastAsia="zh-CN"/>
        </w:rPr>
      </w:pPr>
    </w:p>
    <w:p w14:paraId="6857CE8C">
      <w:pPr>
        <w:pStyle w:val="27"/>
        <w:spacing w:line="360" w:lineRule="auto"/>
        <w:jc w:val="center"/>
        <w:rPr>
          <w:rFonts w:hint="eastAsia" w:ascii="宋体" w:hAnsi="宋体" w:eastAsia="宋体" w:cs="Times New Roman"/>
          <w:b/>
          <w:color w:val="auto"/>
          <w:sz w:val="28"/>
          <w:szCs w:val="28"/>
          <w:highlight w:val="none"/>
          <w:lang w:eastAsia="zh-CN"/>
        </w:rPr>
      </w:pPr>
    </w:p>
    <w:p w14:paraId="7EE21ADE">
      <w:pPr>
        <w:pStyle w:val="27"/>
        <w:spacing w:line="360" w:lineRule="auto"/>
        <w:jc w:val="both"/>
        <w:rPr>
          <w:rFonts w:hAnsi="宋体" w:cs="宋体"/>
          <w:b/>
          <w:bCs/>
          <w:color w:val="auto"/>
          <w:sz w:val="32"/>
          <w:szCs w:val="32"/>
          <w:highlight w:val="none"/>
          <w:lang w:bidi="ar"/>
        </w:rPr>
      </w:pPr>
      <w:r>
        <w:rPr>
          <w:rFonts w:hint="eastAsia" w:ascii="宋体" w:hAnsi="宋体" w:eastAsia="宋体" w:cs="Times New Roman"/>
          <w:b/>
          <w:color w:val="auto"/>
          <w:sz w:val="28"/>
          <w:szCs w:val="28"/>
          <w:highlight w:val="none"/>
          <w:lang w:eastAsia="zh-CN"/>
        </w:rPr>
        <w:t>（</w:t>
      </w:r>
      <w:r>
        <w:rPr>
          <w:rFonts w:hint="eastAsia" w:ascii="宋体" w:hAnsi="宋体" w:eastAsia="宋体" w:cs="Times New Roman"/>
          <w:b/>
          <w:color w:val="auto"/>
          <w:sz w:val="28"/>
          <w:szCs w:val="28"/>
          <w:highlight w:val="none"/>
          <w:lang w:val="en-US" w:eastAsia="zh-CN"/>
        </w:rPr>
        <w:t>1</w:t>
      </w:r>
      <w:r>
        <w:rPr>
          <w:rFonts w:hint="eastAsia" w:ascii="宋体" w:hAnsi="宋体" w:cs="Times New Roman"/>
          <w:b/>
          <w:color w:val="auto"/>
          <w:sz w:val="28"/>
          <w:szCs w:val="28"/>
          <w:highlight w:val="none"/>
          <w:lang w:val="en-US" w:eastAsia="zh-CN"/>
        </w:rPr>
        <w:t>3</w:t>
      </w:r>
      <w:r>
        <w:rPr>
          <w:rFonts w:hint="eastAsia" w:ascii="宋体" w:hAnsi="宋体" w:eastAsia="宋体" w:cs="Times New Roman"/>
          <w:b/>
          <w:color w:val="auto"/>
          <w:sz w:val="28"/>
          <w:szCs w:val="28"/>
          <w:highlight w:val="none"/>
          <w:lang w:eastAsia="zh-CN"/>
        </w:rPr>
        <w:t>）</w:t>
      </w:r>
      <w:r>
        <w:rPr>
          <w:rFonts w:hint="eastAsia" w:ascii="宋体" w:hAnsi="宋体" w:eastAsia="宋体" w:cs="Times New Roman"/>
          <w:b/>
          <w:color w:val="auto"/>
          <w:sz w:val="28"/>
          <w:szCs w:val="28"/>
          <w:highlight w:val="none"/>
        </w:rPr>
        <w:t>投标人认为需要提交的其它资料</w:t>
      </w:r>
      <w:r>
        <w:rPr>
          <w:rFonts w:hint="eastAsia" w:ascii="宋体" w:hAnsi="宋体" w:eastAsia="宋体" w:cs="Times New Roman"/>
          <w:b/>
          <w:color w:val="auto"/>
          <w:sz w:val="28"/>
          <w:szCs w:val="28"/>
          <w:highlight w:val="none"/>
          <w:lang w:eastAsia="zh-CN"/>
        </w:rPr>
        <w:t>（</w:t>
      </w:r>
      <w:r>
        <w:rPr>
          <w:rFonts w:hint="eastAsia" w:ascii="宋体" w:hAnsi="宋体" w:eastAsia="宋体" w:cs="Times New Roman"/>
          <w:b/>
          <w:color w:val="auto"/>
          <w:sz w:val="28"/>
          <w:szCs w:val="28"/>
          <w:highlight w:val="none"/>
          <w:lang w:val="en-US" w:eastAsia="zh-CN"/>
        </w:rPr>
        <w:t>详见评标办法</w:t>
      </w:r>
      <w:r>
        <w:rPr>
          <w:rFonts w:hint="eastAsia" w:ascii="宋体" w:hAnsi="宋体" w:eastAsia="宋体" w:cs="Times New Roman"/>
          <w:b/>
          <w:color w:val="auto"/>
          <w:sz w:val="28"/>
          <w:szCs w:val="28"/>
          <w:highlight w:val="none"/>
          <w:lang w:eastAsia="zh-CN"/>
        </w:rPr>
        <w:t>）</w:t>
      </w:r>
    </w:p>
    <w:p w14:paraId="368A3820">
      <w:pPr>
        <w:wordWrap w:val="0"/>
        <w:spacing w:line="360" w:lineRule="auto"/>
        <w:jc w:val="center"/>
        <w:rPr>
          <w:rFonts w:hAnsi="宋体" w:cs="宋体"/>
          <w:b/>
          <w:bCs/>
          <w:color w:val="auto"/>
          <w:sz w:val="32"/>
          <w:szCs w:val="32"/>
          <w:highlight w:val="none"/>
          <w:lang w:bidi="ar"/>
        </w:rPr>
      </w:pPr>
    </w:p>
    <w:p w14:paraId="038EA75A">
      <w:pPr>
        <w:pStyle w:val="2"/>
        <w:rPr>
          <w:rFonts w:ascii="宋体" w:hAnsi="宋体" w:cs="宋体"/>
          <w:color w:val="auto"/>
          <w:kern w:val="0"/>
          <w:szCs w:val="32"/>
          <w:highlight w:val="none"/>
          <w:lang w:bidi="ar"/>
        </w:rPr>
      </w:pPr>
    </w:p>
    <w:p w14:paraId="19D34E6D">
      <w:pPr>
        <w:rPr>
          <w:color w:val="auto"/>
          <w:highlight w:val="none"/>
        </w:rPr>
      </w:pPr>
    </w:p>
    <w:p w14:paraId="5CC5AC33">
      <w:pPr>
        <w:wordWrap w:val="0"/>
        <w:spacing w:line="360" w:lineRule="auto"/>
        <w:jc w:val="center"/>
        <w:rPr>
          <w:rFonts w:hAnsi="宋体" w:cs="宋体"/>
          <w:b/>
          <w:bCs/>
          <w:color w:val="auto"/>
          <w:sz w:val="32"/>
          <w:szCs w:val="32"/>
          <w:highlight w:val="none"/>
          <w:lang w:bidi="ar"/>
        </w:rPr>
      </w:pPr>
    </w:p>
    <w:p w14:paraId="3F54E8F1">
      <w:pPr>
        <w:rPr>
          <w:rFonts w:hint="eastAsia" w:hAnsi="宋体" w:cs="宋体"/>
          <w:b/>
          <w:bCs/>
          <w:color w:val="auto"/>
          <w:sz w:val="32"/>
          <w:szCs w:val="32"/>
          <w:highlight w:val="none"/>
          <w:lang w:bidi="ar"/>
        </w:rPr>
      </w:pPr>
      <w:r>
        <w:rPr>
          <w:rFonts w:hint="eastAsia" w:hAnsi="宋体" w:cs="宋体"/>
          <w:b/>
          <w:bCs/>
          <w:color w:val="auto"/>
          <w:sz w:val="32"/>
          <w:szCs w:val="32"/>
          <w:highlight w:val="none"/>
          <w:lang w:bidi="ar"/>
        </w:rPr>
        <w:br w:type="page"/>
      </w:r>
    </w:p>
    <w:p w14:paraId="3B612917">
      <w:pPr>
        <w:wordWrap w:val="0"/>
        <w:spacing w:line="360" w:lineRule="auto"/>
        <w:jc w:val="center"/>
        <w:rPr>
          <w:rFonts w:hint="eastAsia" w:hAnsi="宋体" w:eastAsia="宋体" w:cs="宋体"/>
          <w:b/>
          <w:bCs/>
          <w:color w:val="auto"/>
          <w:sz w:val="32"/>
          <w:szCs w:val="32"/>
          <w:highlight w:val="none"/>
          <w:lang w:eastAsia="zh-CN" w:bidi="ar"/>
        </w:rPr>
      </w:pPr>
      <w:r>
        <w:rPr>
          <w:rFonts w:hint="eastAsia" w:hAnsi="宋体" w:cs="宋体"/>
          <w:b/>
          <w:bCs/>
          <w:color w:val="auto"/>
          <w:sz w:val="32"/>
          <w:szCs w:val="32"/>
          <w:highlight w:val="none"/>
          <w:lang w:bidi="ar"/>
        </w:rPr>
        <w:t>第六章 项目需求</w:t>
      </w:r>
    </w:p>
    <w:p w14:paraId="47F001B1">
      <w:pPr>
        <w:spacing w:line="44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一、项目概况</w:t>
      </w:r>
    </w:p>
    <w:p w14:paraId="6479B72F">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主要工作内容：本项目为铜陵市郊区城镇污水处理设施提质增效工程污水管网CCTV检测项目，主要内容包括：1.已新建DN200污水管道及以上全长约31241m，待新建DN200管道及以上全长约16100m。主要工作内容包括对新建（含待建）管道及新建（含待建）检查井（含户线检查井、阀门井等排水附属设施）内部状况进行清淤疏通及cctv检测并提供修复建议等内容，最终出具成果。成果报告包括但不限于项目评估报告，检查井内径、外径，内部检查状况、管道使用情况及问题情况以及详细的修复建议，并对成果准确度和方案合理性承担相应责任；注明相关管道及检查井</w:t>
      </w:r>
      <w:r>
        <w:rPr>
          <w:rFonts w:hint="eastAsia" w:hAnsi="宋体" w:cs="宋体"/>
          <w:color w:val="auto"/>
          <w:sz w:val="24"/>
          <w:szCs w:val="24"/>
          <w:highlight w:val="none"/>
          <w:lang w:val="en-US" w:eastAsia="zh-CN"/>
        </w:rPr>
        <w:t>编号、</w:t>
      </w:r>
      <w:r>
        <w:rPr>
          <w:rFonts w:hint="eastAsia" w:ascii="宋体" w:hAnsi="宋体" w:eastAsia="宋体" w:cs="宋体"/>
          <w:color w:val="auto"/>
          <w:sz w:val="24"/>
          <w:szCs w:val="24"/>
          <w:highlight w:val="none"/>
        </w:rPr>
        <w:t>坐标、内径、长度、</w:t>
      </w:r>
      <w:r>
        <w:rPr>
          <w:rFonts w:hint="eastAsia" w:hAnsi="宋体" w:cs="宋体"/>
          <w:color w:val="auto"/>
          <w:sz w:val="24"/>
          <w:szCs w:val="24"/>
          <w:highlight w:val="none"/>
          <w:lang w:eastAsia="zh-CN"/>
        </w:rPr>
        <w:t>高程</w:t>
      </w:r>
      <w:r>
        <w:rPr>
          <w:rFonts w:hint="eastAsia" w:ascii="宋体" w:hAnsi="宋体" w:eastAsia="宋体" w:cs="宋体"/>
          <w:color w:val="auto"/>
          <w:sz w:val="24"/>
          <w:szCs w:val="24"/>
          <w:highlight w:val="none"/>
        </w:rPr>
        <w:t>、埋深、管材、管径、流向等具体</w:t>
      </w:r>
      <w:r>
        <w:rPr>
          <w:rFonts w:hint="eastAsia" w:hAnsi="宋体" w:cs="宋体"/>
          <w:color w:val="auto"/>
          <w:sz w:val="24"/>
          <w:szCs w:val="24"/>
          <w:highlight w:val="none"/>
          <w:lang w:eastAsia="zh-CN"/>
        </w:rPr>
        <w:t>管网测绘图</w:t>
      </w:r>
      <w:r>
        <w:rPr>
          <w:rFonts w:hint="eastAsia" w:ascii="宋体" w:hAnsi="宋体" w:eastAsia="宋体" w:cs="宋体"/>
          <w:color w:val="auto"/>
          <w:sz w:val="24"/>
          <w:szCs w:val="24"/>
          <w:highlight w:val="none"/>
        </w:rPr>
        <w:t>；2.新建及待建的排水户建筑单体立管、</w:t>
      </w:r>
      <w:r>
        <w:rPr>
          <w:rFonts w:hint="eastAsia" w:hAnsi="宋体" w:cs="宋体"/>
          <w:color w:val="auto"/>
          <w:sz w:val="24"/>
          <w:szCs w:val="24"/>
          <w:highlight w:val="none"/>
          <w:lang w:eastAsia="zh-CN"/>
        </w:rPr>
        <w:t>出户管等</w:t>
      </w:r>
      <w:r>
        <w:rPr>
          <w:rFonts w:hint="eastAsia" w:ascii="宋体" w:hAnsi="宋体" w:eastAsia="宋体" w:cs="宋体"/>
          <w:color w:val="auto"/>
          <w:sz w:val="24"/>
          <w:szCs w:val="24"/>
          <w:highlight w:val="none"/>
        </w:rPr>
        <w:t>，直径 DN200以下的管网</w:t>
      </w:r>
      <w:r>
        <w:rPr>
          <w:rFonts w:hint="eastAsia" w:hAnsi="宋体" w:cs="宋体"/>
          <w:color w:val="auto"/>
          <w:sz w:val="24"/>
          <w:szCs w:val="24"/>
          <w:highlight w:val="none"/>
          <w:lang w:eastAsia="zh-CN"/>
        </w:rPr>
        <w:t>（约21000m具体以现场实际工程量为准）</w:t>
      </w:r>
      <w:r>
        <w:rPr>
          <w:rFonts w:hint="eastAsia" w:ascii="宋体" w:hAnsi="宋体" w:eastAsia="宋体" w:cs="宋体"/>
          <w:color w:val="auto"/>
          <w:sz w:val="24"/>
          <w:szCs w:val="24"/>
          <w:highlight w:val="none"/>
        </w:rPr>
        <w:t>不计入cctv检测，但需测绘并提供</w:t>
      </w:r>
      <w:r>
        <w:rPr>
          <w:rFonts w:hint="eastAsia" w:hAnsi="宋体" w:cs="宋体"/>
          <w:bCs/>
          <w:color w:val="auto"/>
          <w:szCs w:val="21"/>
          <w:highlight w:val="none"/>
          <w:lang w:val="en-US" w:eastAsia="zh-CN"/>
        </w:rPr>
        <w:t>编号、</w:t>
      </w:r>
      <w:r>
        <w:rPr>
          <w:rFonts w:hint="eastAsia" w:hAnsi="宋体" w:cs="宋体"/>
          <w:bCs/>
          <w:color w:val="auto"/>
          <w:szCs w:val="21"/>
          <w:highlight w:val="none"/>
        </w:rPr>
        <w:t>管径、流向、</w:t>
      </w:r>
      <w:r>
        <w:rPr>
          <w:rFonts w:hint="eastAsia" w:hAnsi="宋体" w:cs="宋体"/>
          <w:bCs/>
          <w:color w:val="auto"/>
          <w:szCs w:val="21"/>
          <w:highlight w:val="none"/>
          <w:lang w:val="en-US" w:eastAsia="zh-CN"/>
        </w:rPr>
        <w:t>埋深、</w:t>
      </w:r>
      <w:r>
        <w:rPr>
          <w:rFonts w:hint="eastAsia" w:hAnsi="宋体" w:cs="宋体"/>
          <w:bCs/>
          <w:color w:val="auto"/>
          <w:szCs w:val="21"/>
          <w:highlight w:val="none"/>
          <w:lang w:eastAsia="zh-CN"/>
        </w:rPr>
        <w:t>高程</w:t>
      </w:r>
      <w:r>
        <w:rPr>
          <w:rFonts w:hint="eastAsia" w:hAnsi="宋体" w:cs="宋体"/>
          <w:bCs/>
          <w:color w:val="auto"/>
          <w:szCs w:val="21"/>
          <w:highlight w:val="none"/>
        </w:rPr>
        <w:t>、管材、长度</w:t>
      </w:r>
      <w:r>
        <w:rPr>
          <w:rFonts w:hint="eastAsia" w:ascii="宋体" w:hAnsi="宋体" w:eastAsia="宋体" w:cs="宋体"/>
          <w:color w:val="auto"/>
          <w:sz w:val="24"/>
          <w:szCs w:val="24"/>
          <w:highlight w:val="none"/>
        </w:rPr>
        <w:t>等详细的</w:t>
      </w:r>
      <w:r>
        <w:rPr>
          <w:rFonts w:hint="eastAsia" w:hAnsi="宋体" w:cs="宋体"/>
          <w:color w:val="auto"/>
          <w:sz w:val="24"/>
          <w:szCs w:val="24"/>
          <w:highlight w:val="none"/>
          <w:lang w:eastAsia="zh-CN"/>
        </w:rPr>
        <w:t>管网测绘图</w:t>
      </w:r>
      <w:r>
        <w:rPr>
          <w:rFonts w:hint="eastAsia" w:ascii="宋体" w:hAnsi="宋体" w:eastAsia="宋体" w:cs="宋体"/>
          <w:color w:val="auto"/>
          <w:sz w:val="24"/>
          <w:szCs w:val="24"/>
          <w:highlight w:val="none"/>
        </w:rPr>
        <w:t>。</w:t>
      </w:r>
    </w:p>
    <w:p w14:paraId="14E838C7">
      <w:pPr>
        <w:spacing w:line="44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2、工作区域：</w:t>
      </w:r>
      <w:r>
        <w:rPr>
          <w:rFonts w:hint="eastAsia" w:ascii="宋体" w:hAnsi="宋体" w:eastAsia="宋体" w:cs="宋体"/>
          <w:color w:val="auto"/>
          <w:sz w:val="24"/>
          <w:szCs w:val="24"/>
          <w:highlight w:val="none"/>
          <w:lang w:val="en-US" w:eastAsia="zh-CN"/>
        </w:rPr>
        <w:t>铜陵市郊区</w:t>
      </w:r>
    </w:p>
    <w:p w14:paraId="64F7F914">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认为其他需要检测的项目；</w:t>
      </w:r>
    </w:p>
    <w:p w14:paraId="198397C6">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具体区域按</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根据实际情况进行调整确认。</w:t>
      </w:r>
    </w:p>
    <w:p w14:paraId="44958F89">
      <w:pPr>
        <w:spacing w:line="440" w:lineRule="exact"/>
        <w:ind w:firstLine="480" w:firstLineChars="200"/>
        <w:rPr>
          <w:rFonts w:hint="eastAsia" w:ascii="宋体" w:hAnsi="宋体"/>
          <w:b/>
          <w:bCs/>
          <w:color w:val="auto"/>
          <w:sz w:val="24"/>
          <w:highlight w:val="none"/>
          <w:lang w:val="en-US" w:eastAsia="zh-CN"/>
        </w:rPr>
      </w:pPr>
      <w:r>
        <w:rPr>
          <w:rFonts w:hint="eastAsia" w:ascii="宋体" w:hAnsi="宋体" w:eastAsia="宋体" w:cs="宋体"/>
          <w:color w:val="auto"/>
          <w:sz w:val="24"/>
          <w:szCs w:val="24"/>
          <w:highlight w:val="none"/>
        </w:rPr>
        <w:t>3、工程规模</w:t>
      </w:r>
      <w:r>
        <w:rPr>
          <w:rFonts w:hint="eastAsia" w:ascii="宋体" w:hAnsi="宋体" w:eastAsia="宋体" w:cs="宋体"/>
          <w:b w:val="0"/>
          <w:bCs w:val="0"/>
          <w:color w:val="auto"/>
          <w:sz w:val="24"/>
          <w:szCs w:val="24"/>
          <w:highlight w:val="none"/>
        </w:rPr>
        <w:t>：</w:t>
      </w:r>
      <w:r>
        <w:rPr>
          <w:rFonts w:hint="eastAsia" w:ascii="宋体" w:hAnsi="宋体"/>
          <w:b w:val="0"/>
          <w:bCs w:val="0"/>
          <w:color w:val="auto"/>
          <w:sz w:val="24"/>
          <w:highlight w:val="none"/>
          <w:lang w:val="en-US" w:eastAsia="zh-CN"/>
        </w:rPr>
        <w:t>已新建DN200污水管道及以上全长约31241m，待新建DN200管道及以上全长约16100m。新建及待建的排水户建筑单体立管、</w:t>
      </w:r>
      <w:r>
        <w:rPr>
          <w:rFonts w:hint="eastAsia" w:hAnsi="宋体"/>
          <w:b w:val="0"/>
          <w:bCs w:val="0"/>
          <w:color w:val="auto"/>
          <w:sz w:val="24"/>
          <w:highlight w:val="none"/>
          <w:lang w:val="en-US" w:eastAsia="zh-CN"/>
        </w:rPr>
        <w:t>出户管等</w:t>
      </w:r>
      <w:r>
        <w:rPr>
          <w:rFonts w:hint="eastAsia" w:ascii="宋体" w:hAnsi="宋体"/>
          <w:b w:val="0"/>
          <w:bCs w:val="0"/>
          <w:color w:val="auto"/>
          <w:sz w:val="24"/>
          <w:highlight w:val="none"/>
          <w:lang w:val="en-US" w:eastAsia="zh-CN"/>
        </w:rPr>
        <w:t>，直径 DN200以下的管网</w:t>
      </w:r>
      <w:r>
        <w:rPr>
          <w:rFonts w:hint="eastAsia" w:hAnsi="宋体"/>
          <w:b w:val="0"/>
          <w:bCs w:val="0"/>
          <w:color w:val="auto"/>
          <w:sz w:val="24"/>
          <w:highlight w:val="none"/>
          <w:lang w:val="en-US" w:eastAsia="zh-CN"/>
        </w:rPr>
        <w:t>（约21000m具体以现场实际工程量为准）。</w:t>
      </w:r>
    </w:p>
    <w:p w14:paraId="56475DCE">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4、质量要求：达到污水管道CCTV检测技术要求，影像资料及图片必须清楚；污水井根据图纸需编好号。视频资料屏幕上录像时须标注路段管段及井内详细管道</w:t>
      </w:r>
      <w:r>
        <w:rPr>
          <w:rFonts w:hint="eastAsia" w:hAnsi="宋体" w:cs="宋体"/>
          <w:color w:val="auto"/>
          <w:sz w:val="24"/>
          <w:szCs w:val="24"/>
          <w:highlight w:val="none"/>
          <w:lang w:eastAsia="zh-CN"/>
        </w:rPr>
        <w:t>高程</w:t>
      </w:r>
      <w:r>
        <w:rPr>
          <w:rFonts w:hint="eastAsia" w:ascii="宋体" w:hAnsi="宋体" w:eastAsia="宋体" w:cs="宋体"/>
          <w:color w:val="auto"/>
          <w:sz w:val="24"/>
          <w:szCs w:val="24"/>
          <w:highlight w:val="none"/>
        </w:rPr>
        <w:t>、井深、管径等数据资料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zh-CN" w:eastAsia="zh-CN"/>
        </w:rPr>
        <w:t>满足现行国家、地方法律法规及相关规范要求，对出具的报告书负有法律责任。</w:t>
      </w:r>
    </w:p>
    <w:p w14:paraId="598E3ED1">
      <w:pPr>
        <w:spacing w:line="44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5、服务期限：</w:t>
      </w:r>
      <w:r>
        <w:rPr>
          <w:rFonts w:hint="eastAsia" w:hAnsi="宋体" w:cs="宋体"/>
          <w:bCs/>
          <w:color w:val="auto"/>
          <w:szCs w:val="21"/>
          <w:highlight w:val="none"/>
          <w:lang w:val="en-US" w:eastAsia="zh-CN"/>
        </w:rPr>
        <w:t>40</w:t>
      </w:r>
      <w:r>
        <w:rPr>
          <w:rFonts w:hint="eastAsia" w:hAnsi="宋体" w:cs="宋体"/>
          <w:bCs/>
          <w:color w:val="auto"/>
          <w:szCs w:val="21"/>
          <w:highlight w:val="none"/>
          <w:lang w:eastAsia="zh-CN"/>
        </w:rPr>
        <w:t>日历天，即已新建管网与待新建管网分别接到招标人通知之日起40日历天内出具成果报告。</w:t>
      </w:r>
    </w:p>
    <w:p w14:paraId="7C44A501">
      <w:pPr>
        <w:spacing w:line="44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二、技术规范及标准</w:t>
      </w:r>
    </w:p>
    <w:p w14:paraId="648E5053">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包括但不仅限于以下技术规范及标准：</w:t>
      </w:r>
    </w:p>
    <w:p w14:paraId="0915066F">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1、《城镇排水管道检测与评估技术规程》CJJ181-2012；</w:t>
      </w:r>
    </w:p>
    <w:p w14:paraId="31F3D79D">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2、《城镇排水管道维护安全技术规程》CJJ6-2009；</w:t>
      </w:r>
    </w:p>
    <w:p w14:paraId="6D2C923F">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3、《城镇排水管道非开挖修复更新工程技术规程》CJJ/T 210-2014；</w:t>
      </w:r>
    </w:p>
    <w:p w14:paraId="6F1C6AC9">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4、《爆炸性气体环境用电气设备》GB3836；</w:t>
      </w:r>
    </w:p>
    <w:p w14:paraId="2BB4395C">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5、《城镇排水管渠与泵站维护技术规程》CJJ68-2007；</w:t>
      </w:r>
    </w:p>
    <w:p w14:paraId="15C19C4E">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6、《建设工程文件归档整理规范》GB/T50328；</w:t>
      </w:r>
    </w:p>
    <w:p w14:paraId="5E11AC3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7、《城市地下管线探测技术规程》CJJ68-2007；</w:t>
      </w:r>
    </w:p>
    <w:p w14:paraId="3DAB8A08">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8、《中华人民共和国道路交通安全法》；</w:t>
      </w:r>
    </w:p>
    <w:p w14:paraId="6AB12CB7">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9、其它相关的行业、地方法规、规程、规定及要求。</w:t>
      </w:r>
    </w:p>
    <w:p w14:paraId="28CE5EA7">
      <w:pPr>
        <w:spacing w:line="440" w:lineRule="exact"/>
        <w:rPr>
          <w:rFonts w:hint="eastAsia" w:ascii="宋体" w:hAnsi="宋体" w:eastAsia="宋体" w:cs="宋体"/>
          <w:b/>
          <w:color w:val="auto"/>
          <w:sz w:val="24"/>
          <w:szCs w:val="24"/>
          <w:highlight w:val="none"/>
        </w:rPr>
      </w:pPr>
      <w:bookmarkStart w:id="183" w:name="_Toc361762431"/>
      <w:bookmarkStart w:id="184" w:name="_Toc442114408"/>
      <w:r>
        <w:rPr>
          <w:rFonts w:hint="eastAsia" w:ascii="宋体" w:hAnsi="宋体" w:eastAsia="宋体" w:cs="宋体"/>
          <w:b/>
          <w:color w:val="auto"/>
          <w:sz w:val="24"/>
          <w:szCs w:val="24"/>
          <w:highlight w:val="none"/>
        </w:rPr>
        <w:t>三、CCTV检测具体要求</w:t>
      </w:r>
      <w:bookmarkEnd w:id="183"/>
      <w:bookmarkEnd w:id="184"/>
    </w:p>
    <w:p w14:paraId="4159A87D">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1、管道CCTV检测工作内容：</w:t>
      </w:r>
    </w:p>
    <w:p w14:paraId="4FD268AB">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1.1污水泄漏检测；</w:t>
      </w:r>
    </w:p>
    <w:p w14:paraId="57DBD5D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1.2不明污水处渗入来源检测；</w:t>
      </w:r>
    </w:p>
    <w:p w14:paraId="2F09D7DE">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1.3管路淤积、排水不畅等原因的调查；</w:t>
      </w:r>
    </w:p>
    <w:p w14:paraId="24ABF89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1.4可直接排放污水与需处理污水的合流情况检测；</w:t>
      </w:r>
    </w:p>
    <w:p w14:paraId="19DB91F5">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1.5管道的腐蚀、破损、接口错位、淤积、结垢等运行状况的检测；</w:t>
      </w:r>
    </w:p>
    <w:p w14:paraId="621B1328">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1.6查找因排水系统或基建施工而找不到的检修井或去向不明管段；</w:t>
      </w:r>
    </w:p>
    <w:p w14:paraId="7FCF6CCF">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2、管道CCTV检测要求：</w:t>
      </w:r>
    </w:p>
    <w:p w14:paraId="23C0A331">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2.1管道CCTV检测的基本程序要求：</w:t>
      </w:r>
    </w:p>
    <w:p w14:paraId="26D2858B">
      <w:pPr>
        <w:keepNext w:val="0"/>
        <w:keepLines w:val="0"/>
        <w:widowControl/>
        <w:suppressLineNumbers w:val="0"/>
        <w:ind w:firstLine="720" w:firstLineChars="300"/>
        <w:jc w:val="left"/>
        <w:rPr>
          <w:highlight w:val="none"/>
        </w:rPr>
      </w:pPr>
      <w:r>
        <w:rPr>
          <w:rFonts w:hint="eastAsia" w:ascii="宋体" w:hAnsi="宋体" w:eastAsia="宋体" w:cs="宋体"/>
          <w:color w:val="auto"/>
          <w:sz w:val="24"/>
          <w:szCs w:val="24"/>
          <w:highlight w:val="none"/>
        </w:rPr>
        <w:t>检测工作任务书下达，搜集资料，现场踏勘，编写技术检测方案，检测前的准备（含特殊地段办理占道施工许可证、管道特殊预处理许可手续等），现场检测及初步判读，内业影象判读与处理，评估计算及图件编辑，编写检测报告书和成果验收</w:t>
      </w:r>
      <w:r>
        <w:rPr>
          <w:rFonts w:hint="eastAsia" w:hAnsi="宋体" w:cs="宋体"/>
          <w:color w:val="auto"/>
          <w:sz w:val="24"/>
          <w:szCs w:val="24"/>
          <w:highlight w:val="none"/>
          <w:lang w:eastAsia="zh-CN"/>
        </w:rPr>
        <w:t>，</w:t>
      </w:r>
      <w:r>
        <w:rPr>
          <w:rFonts w:hint="eastAsia" w:ascii="宋体" w:hAnsi="宋体" w:eastAsia="宋体" w:cs="宋体"/>
          <w:color w:val="000000"/>
          <w:kern w:val="0"/>
          <w:sz w:val="24"/>
          <w:szCs w:val="24"/>
          <w:highlight w:val="none"/>
          <w:lang w:val="en-US" w:eastAsia="zh-CN" w:bidi="ar"/>
        </w:rPr>
        <w:t xml:space="preserve">所有 CCTV 检测视频要求做到：从地面参照物，到井壁标注的井号，至井室内部、管道内部的视频需要完整，不能间断，视频完整、清晰、不间断。 </w:t>
      </w:r>
    </w:p>
    <w:p w14:paraId="56BF6A69">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QV视频要求做到：从地面参照物，到井壁标注的井号，至井室内部、 井室顶板的视频需要完整，不能间断，视频完整、清晰、不间断。</w:t>
      </w:r>
    </w:p>
    <w:p w14:paraId="7E91E04E">
      <w:pPr>
        <w:keepNext w:val="0"/>
        <w:keepLines w:val="0"/>
        <w:widowControl/>
        <w:suppressLineNumbers w:val="0"/>
        <w:ind w:firstLine="480" w:firstLineChars="200"/>
        <w:jc w:val="left"/>
        <w:rPr>
          <w:highlight w:val="none"/>
        </w:rPr>
      </w:pPr>
      <w:r>
        <w:rPr>
          <w:rFonts w:hint="eastAsia" w:ascii="宋体" w:hAnsi="宋体" w:eastAsia="宋体" w:cs="宋体"/>
          <w:color w:val="000000"/>
          <w:kern w:val="0"/>
          <w:sz w:val="24"/>
          <w:szCs w:val="24"/>
          <w:highlight w:val="none"/>
          <w:lang w:val="en-US" w:eastAsia="zh-CN" w:bidi="ar"/>
        </w:rPr>
        <w:t xml:space="preserve">需提供的成果资料： </w:t>
      </w:r>
    </w:p>
    <w:p w14:paraId="191058B4">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（1）探测方法试验及检测探测仪器性能检验报告； </w:t>
      </w:r>
    </w:p>
    <w:p w14:paraId="268130FD">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（2）外业工作所有原始记录、数据文件、工作图等； </w:t>
      </w:r>
    </w:p>
    <w:p w14:paraId="457EADFF">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（3）检测工作的所有影像资料及原始记录等； </w:t>
      </w:r>
    </w:p>
    <w:p w14:paraId="648E8927">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（4）管道状况评估数据文件； </w:t>
      </w:r>
    </w:p>
    <w:p w14:paraId="16767C1B">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（5）质量检查及评价工作报告； </w:t>
      </w:r>
    </w:p>
    <w:p w14:paraId="2DA35F45">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（6）排水管道测绘成果； </w:t>
      </w:r>
    </w:p>
    <w:p w14:paraId="04C43B65">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（7）检查井、户线检查井等内部检测成果及评估报告； </w:t>
      </w:r>
    </w:p>
    <w:p w14:paraId="3609318E">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（8）最终成果报告。对以上排水管道 CCTV 检测、测绘资料分别进行全面系统的整理，客观科学评价新建排水管道的安全性，给出检测结论。 成果以书面报告（6 份）及电子版本（1 份）提供，其中Ⅱ级及以上病害、检查井病害调查报告单独成册；并附检测成果及相关视频、图件、照片、测量成果；报告中应提供检测试验方法，检测试验记录、结构安全计算所需的参数，并结合具体工程特点提出治理加固建议等。</w:t>
      </w:r>
    </w:p>
    <w:p w14:paraId="74804250">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2.2现场管道检测应包括下列内容：</w:t>
      </w:r>
    </w:p>
    <w:p w14:paraId="35651A98">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2.2.1设立施工现场围栏和安全标志，必要时须按道路交通管理部门的指示封闭道路后再作业；</w:t>
      </w:r>
    </w:p>
    <w:p w14:paraId="676D29DA">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2.2.2管道预处理，如封堵、吸污、清洗、抽水等；</w:t>
      </w:r>
    </w:p>
    <w:p w14:paraId="727B526D">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2.2.3仪器设备自检；</w:t>
      </w:r>
    </w:p>
    <w:p w14:paraId="2CFB422F">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2.2.4管道实地检测与初步判读。对发现的重大缺陷问题应及时报知</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指定的现场监理；</w:t>
      </w:r>
    </w:p>
    <w:p w14:paraId="4C9A4D6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2.2.5检测完成后应及时清理现场，保养设备。</w:t>
      </w:r>
    </w:p>
    <w:p w14:paraId="1DB9B460">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2.3缺陷分布图的编绘应符合下列要求：</w:t>
      </w:r>
    </w:p>
    <w:p w14:paraId="63DEA2BB">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2.3.1缺陷分布图宜在已有的排水管线图基础上加绘缺陷要素。无排水管线图的应按现行的行业标准《城市地下管线探测技术规程》CJJ61等的有关规定绘制。测区较小的可实地丈量后以自由比例尺简单绘制；</w:t>
      </w:r>
    </w:p>
    <w:p w14:paraId="7FBF985B">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2.3.2管道缺陷图上必须注明的缺陷要素包括：录像文件（带）编号、检测方向、缺陷位置、代码及照片编号、管径和相对距离等；</w:t>
      </w:r>
    </w:p>
    <w:p w14:paraId="2621223B">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2.3.3图上的代码和颜色应按本规程规定执行。</w:t>
      </w:r>
    </w:p>
    <w:p w14:paraId="205439DD">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2.4管道检测记录应在现场按规定格式填写完成，不得事后补填，以保证资料的真实性、准确性。在描述管道缺陷或结构特征在管道环向上的位置时应采用时钟表示法。</w:t>
      </w:r>
    </w:p>
    <w:p w14:paraId="35907091">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2.5管道检测成果报表必须包括：工程名称（或合同号）、检测时间、天气、操作者、所持检测资格证书编号，地名、路名、录像文件（带）编号、管道用途、权属单位、铺设时间、预清洗、开始/结束井编号、形状、管径、材质、内衬、管道接头间距、检测方向、缺陷位置、分布时钟、代码级别及缺陷照片等，对于连续性缺陷还应注明起/止位置和长度。报表应经操作者、填表人和审核人签名确认。</w:t>
      </w:r>
    </w:p>
    <w:p w14:paraId="2A52FA5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2.6管道检测成果资料应按档案管理中统一载体、装订规格的要求，分为文字、表、图和光盘（录象带）四大类进行编号和组卷。</w:t>
      </w:r>
    </w:p>
    <w:p w14:paraId="7908E590">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2.7管道检测成果可置入数字市政系统，并建立动态管理机制。</w:t>
      </w:r>
    </w:p>
    <w:p w14:paraId="14E2A90F">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2.8管道检测现场施工必须执行现行的行业标准《排水管道检测与修复安全技术规程》CJJ6的有关规定。</w:t>
      </w:r>
    </w:p>
    <w:p w14:paraId="36C67E04">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2.9普查类检测项目，</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的现场负责人应全程见证现场检测过程，并及时确认管道的重大缺陷。</w:t>
      </w:r>
    </w:p>
    <w:p w14:paraId="1A4F4B8B">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2.10检测过程中，全程使用机器人进行检测作业，不允许使用推杆和潜望镜进行检测作业</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若因客观原因，无法采用CCTV检测的排水管道，经设计单位同意后，可以采用QV辅助检测</w:t>
      </w:r>
      <w:r>
        <w:rPr>
          <w:rFonts w:hint="eastAsia" w:ascii="宋体" w:hAnsi="宋体" w:eastAsia="宋体" w:cs="宋体"/>
          <w:color w:val="auto"/>
          <w:sz w:val="24"/>
          <w:szCs w:val="24"/>
          <w:highlight w:val="none"/>
        </w:rPr>
        <w:t>。</w:t>
      </w:r>
    </w:p>
    <w:p w14:paraId="33425A46">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2.11检测设备的技术要求</w:t>
      </w:r>
    </w:p>
    <w:p w14:paraId="52FC898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2.11.1摄像头高度可自由调整；爬行器的车轮直径大小或者轴间距可根据被检测管道的大小进行更换或调整；灯光强度能调节。</w:t>
      </w:r>
    </w:p>
    <w:p w14:paraId="4E9E2C41">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2.11.2CCTV检测系统的技术要求应符合下表的规定</w:t>
      </w:r>
    </w:p>
    <w:p w14:paraId="0C8ACCCC">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①外观和工作正常性符合国家计量要求；</w:t>
      </w:r>
    </w:p>
    <w:p w14:paraId="320D1911">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②适用范围：DN150-DN2000管径管道；</w:t>
      </w:r>
    </w:p>
    <w:p w14:paraId="6CFA5F59">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③驱动力：4轮驱动，拖力210磅；</w:t>
      </w:r>
    </w:p>
    <w:p w14:paraId="3A17BA7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④越障能力：具备45度越障能力；</w:t>
      </w:r>
    </w:p>
    <w:p w14:paraId="102498BE">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⑤控制单元：可以控制爬行器的前进、后退、转向、停止、速度调节；升降架高度调节；摄像头照明光源调节；摄像头水平或垂直旋转、调焦、变倍；</w:t>
      </w:r>
    </w:p>
    <w:p w14:paraId="4025AAD9">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⑥缺陷标记：具备现场缺陷截图、标注缺陷级别功能；</w:t>
      </w:r>
    </w:p>
    <w:p w14:paraId="78398422">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2.11.3检测设备应符合现行的国家标准《爆炸性气体环境用电气设备》GB3836的有关规定。</w:t>
      </w:r>
    </w:p>
    <w:p w14:paraId="4145B276">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2.11.4对新购置的或经过大修及长期停用后重新启用的设备，应按说明书的要求进行检查和校正。</w:t>
      </w:r>
    </w:p>
    <w:p w14:paraId="6EC2630A">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2.12影像资料要求：</w:t>
      </w:r>
    </w:p>
    <w:p w14:paraId="1EBFB978">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2.12.1缺陷的类型和代码宜在现场确认并记录。现场检测完毕后，应由第二者根据录象复核。</w:t>
      </w:r>
    </w:p>
    <w:p w14:paraId="3B6DED7C">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2.12.2缺陷的几何尺寸应比照管径或相关物体的尺寸判定。</w:t>
      </w:r>
    </w:p>
    <w:p w14:paraId="193F1571">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2.12.3对无法确定的缺陷类型或等级必须在评估报告中加以说明。</w:t>
      </w:r>
    </w:p>
    <w:p w14:paraId="69D437B7">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2.12.4缺陷图片应采用现场抓取最佳角度和最清晰图片的方式，特殊情况下也可采用观看录像抓取图片方式。</w:t>
      </w:r>
    </w:p>
    <w:p w14:paraId="1BDE8EA8">
      <w:pPr>
        <w:spacing w:line="440" w:lineRule="exact"/>
        <w:rPr>
          <w:rFonts w:hint="eastAsia" w:ascii="宋体" w:hAnsi="宋体" w:eastAsia="宋体" w:cs="宋体"/>
          <w:b/>
          <w:color w:val="auto"/>
          <w:sz w:val="24"/>
          <w:szCs w:val="24"/>
          <w:highlight w:val="none"/>
        </w:rPr>
      </w:pPr>
      <w:bookmarkStart w:id="185" w:name="_Toc360651498"/>
      <w:bookmarkStart w:id="186" w:name="_Toc361762432"/>
      <w:bookmarkStart w:id="187" w:name="_Toc442114409"/>
      <w:r>
        <w:rPr>
          <w:rFonts w:hint="eastAsia" w:ascii="宋体" w:hAnsi="宋体" w:eastAsia="宋体" w:cs="宋体"/>
          <w:b/>
          <w:color w:val="auto"/>
          <w:sz w:val="24"/>
          <w:szCs w:val="24"/>
          <w:highlight w:val="none"/>
        </w:rPr>
        <w:t>四、项目成果</w:t>
      </w:r>
      <w:bookmarkEnd w:id="185"/>
      <w:bookmarkEnd w:id="186"/>
      <w:bookmarkEnd w:id="187"/>
    </w:p>
    <w:p w14:paraId="608C43CD">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1、完成本项目的实施后，根据</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的要求，提供书面及电子版本的成果文件。</w:t>
      </w:r>
    </w:p>
    <w:p w14:paraId="3B4511F7">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、成果报告包括应包括成果表数据、检测录像数据、缺陷照片数据、缺陷分布图数据、技术设计书、检测报告书等。</w:t>
      </w:r>
    </w:p>
    <w:p w14:paraId="7F8B2991">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、书面资料数量：一式陆份</w:t>
      </w:r>
      <w:r>
        <w:rPr>
          <w:rFonts w:hint="eastAsia" w:hAnsi="宋体" w:cs="宋体"/>
          <w:color w:val="auto"/>
          <w:sz w:val="24"/>
          <w:szCs w:val="24"/>
          <w:highlight w:val="none"/>
          <w:lang w:val="en-US" w:eastAsia="zh-CN"/>
        </w:rPr>
        <w:t>及电子资料壹份</w:t>
      </w:r>
      <w:r>
        <w:rPr>
          <w:rFonts w:hint="eastAsia" w:ascii="宋体" w:hAnsi="宋体" w:eastAsia="宋体" w:cs="宋体"/>
          <w:color w:val="auto"/>
          <w:sz w:val="24"/>
          <w:szCs w:val="24"/>
          <w:highlight w:val="none"/>
        </w:rPr>
        <w:t xml:space="preserve">。 </w:t>
      </w:r>
    </w:p>
    <w:p w14:paraId="677EB2E4">
      <w:pPr>
        <w:spacing w:line="440" w:lineRule="exact"/>
        <w:rPr>
          <w:rFonts w:hint="eastAsia" w:ascii="宋体" w:hAnsi="宋体" w:eastAsia="宋体" w:cs="宋体"/>
          <w:b/>
          <w:color w:val="auto"/>
          <w:sz w:val="24"/>
          <w:szCs w:val="24"/>
          <w:highlight w:val="none"/>
        </w:rPr>
      </w:pPr>
      <w:bookmarkStart w:id="188" w:name="_Toc360651499"/>
      <w:bookmarkStart w:id="189" w:name="_Toc442114410"/>
      <w:bookmarkStart w:id="190" w:name="_Toc361762433"/>
      <w:r>
        <w:rPr>
          <w:rFonts w:hint="eastAsia" w:ascii="宋体" w:hAnsi="宋体" w:eastAsia="宋体" w:cs="宋体"/>
          <w:b/>
          <w:color w:val="auto"/>
          <w:sz w:val="24"/>
          <w:szCs w:val="24"/>
          <w:highlight w:val="none"/>
        </w:rPr>
        <w:t>五、项目实施进度要求</w:t>
      </w:r>
      <w:bookmarkEnd w:id="188"/>
      <w:bookmarkEnd w:id="189"/>
      <w:bookmarkEnd w:id="190"/>
    </w:p>
    <w:p w14:paraId="27DC0516">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须考虑本项目的特殊性，安排充足人员，在服务期限内，按</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要求分出具相应的成果报告。</w:t>
      </w:r>
    </w:p>
    <w:p w14:paraId="52E3BD64">
      <w:pPr>
        <w:keepNext w:val="0"/>
        <w:keepLines w:val="0"/>
        <w:widowControl/>
        <w:numPr>
          <w:ilvl w:val="0"/>
          <w:numId w:val="8"/>
        </w:numPr>
        <w:suppressLineNumbers w:val="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安全要求：</w:t>
      </w:r>
      <w:r>
        <w:rPr>
          <w:rFonts w:hint="eastAsia" w:ascii="宋体" w:hAnsi="宋体" w:eastAsia="宋体" w:cs="宋体"/>
          <w:color w:val="auto"/>
          <w:sz w:val="24"/>
          <w:szCs w:val="24"/>
          <w:highlight w:val="none"/>
        </w:rPr>
        <w:t>符合《城镇排水管道维护安全技术规程》（CJJ6-2009）</w:t>
      </w:r>
    </w:p>
    <w:p w14:paraId="3AE12455">
      <w:pPr>
        <w:spacing w:line="440" w:lineRule="exact"/>
        <w:rPr>
          <w:rFonts w:hint="eastAsia" w:ascii="宋体" w:hAnsi="宋体" w:eastAsia="宋体" w:cs="宋体"/>
          <w:b/>
          <w:color w:val="auto"/>
          <w:sz w:val="24"/>
          <w:szCs w:val="24"/>
          <w:highlight w:val="none"/>
        </w:rPr>
      </w:pPr>
      <w:bookmarkStart w:id="191" w:name="_Toc442114411"/>
      <w:r>
        <w:rPr>
          <w:rFonts w:hint="eastAsia" w:ascii="宋体" w:hAnsi="宋体" w:eastAsia="宋体" w:cs="宋体"/>
          <w:b/>
          <w:color w:val="auto"/>
          <w:sz w:val="24"/>
          <w:szCs w:val="24"/>
          <w:highlight w:val="none"/>
          <w:lang w:val="en-US" w:eastAsia="zh-CN"/>
        </w:rPr>
        <w:t>七</w:t>
      </w:r>
      <w:r>
        <w:rPr>
          <w:rFonts w:hint="eastAsia" w:ascii="宋体" w:hAnsi="宋体" w:eastAsia="宋体" w:cs="宋体"/>
          <w:b/>
          <w:color w:val="auto"/>
          <w:sz w:val="24"/>
          <w:szCs w:val="24"/>
          <w:highlight w:val="none"/>
        </w:rPr>
        <w:t>、其他要求</w:t>
      </w:r>
      <w:bookmarkEnd w:id="191"/>
    </w:p>
    <w:p w14:paraId="3CD79DDB">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在实施时应严格按照省、市等有关部门的下井（池）作业规范和文件要求进行实施，并做好各项安全生产管理防护措施及应急预案。如未按照省、市等有关部门的下井（池）作业规范和文件要求私自下井（池）作业的，第一次扣罚5000元并承担一切责任后果，第二次</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有权终止合同并</w:t>
      </w:r>
      <w:r>
        <w:rPr>
          <w:rFonts w:hint="eastAsia" w:ascii="宋体" w:hAnsi="宋体" w:eastAsia="宋体" w:cs="宋体"/>
          <w:color w:val="auto"/>
          <w:sz w:val="24"/>
          <w:szCs w:val="24"/>
          <w:highlight w:val="none"/>
          <w:lang w:val="en-US" w:eastAsia="zh-CN"/>
        </w:rPr>
        <w:t>扣罚10000元</w:t>
      </w:r>
      <w:r>
        <w:rPr>
          <w:rFonts w:hint="eastAsia" w:ascii="宋体" w:hAnsi="宋体" w:eastAsia="宋体" w:cs="宋体"/>
          <w:color w:val="auto"/>
          <w:sz w:val="24"/>
          <w:szCs w:val="24"/>
          <w:highlight w:val="none"/>
        </w:rPr>
        <w:t>。</w:t>
      </w:r>
    </w:p>
    <w:p w14:paraId="11637AAA">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、施工时，如需进行封道作业、消防栓用水的，则由</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办理相关手续和承担相关费用，</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可配合</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办理相关事宜。</w:t>
      </w:r>
    </w:p>
    <w:p w14:paraId="7D17E8FC">
      <w:pPr>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应重视安全作业，严格执行安全作业的有关内容，并对其服务过程中出现的质量及安全问题进行处理解决和承担一切费用，所有安全事故由</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自行承担。</w:t>
      </w:r>
    </w:p>
    <w:p w14:paraId="66977AE2">
      <w:pPr>
        <w:spacing w:line="44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hAnsi="宋体" w:cs="宋体"/>
          <w:color w:val="auto"/>
          <w:sz w:val="24"/>
          <w:szCs w:val="24"/>
          <w:highlight w:val="none"/>
          <w:lang w:val="en-US" w:eastAsia="zh-CN"/>
        </w:rPr>
        <w:t>管道清淤疏通产生的淤泥投标人负责外运及处置，费用包含在投标报价中。</w:t>
      </w:r>
    </w:p>
    <w:p w14:paraId="6A659195">
      <w:pPr>
        <w:spacing w:line="440" w:lineRule="exact"/>
        <w:ind w:firstLine="480" w:firstLineChars="200"/>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提交的检测报告不符合要求或影像视频模糊不能体现管道内实际情况的，</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需无条件进行重新检测，检测费用由</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自行承担。</w:t>
      </w:r>
    </w:p>
    <w:p w14:paraId="6289740C">
      <w:pPr>
        <w:overflowPunct w:val="0"/>
        <w:autoSpaceDE w:val="0"/>
        <w:autoSpaceDN w:val="0"/>
        <w:adjustRightInd w:val="0"/>
        <w:snapToGrid w:val="0"/>
        <w:spacing w:line="360" w:lineRule="auto"/>
        <w:ind w:firstLine="448" w:firstLineChars="200"/>
        <w:jc w:val="left"/>
        <w:rPr>
          <w:rFonts w:hAnsi="宋体" w:cs="宋体"/>
          <w:color w:val="auto"/>
          <w:spacing w:val="-8"/>
          <w:szCs w:val="24"/>
          <w:highlight w:val="none"/>
        </w:rPr>
      </w:pPr>
    </w:p>
    <w:sectPr>
      <w:headerReference r:id="rId3" w:type="default"/>
      <w:footerReference r:id="rId4" w:type="default"/>
      <w:footerReference r:id="rId5" w:type="even"/>
      <w:pgSz w:w="11905" w:h="16838"/>
      <w:pgMar w:top="1417" w:right="1701" w:bottom="1417" w:left="1701" w:header="0" w:footer="1230" w:gutter="0"/>
      <w:cols w:space="720" w:num="1"/>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创艺简黑体">
    <w:altName w:val="黑体"/>
    <w:panose1 w:val="00000000000000000000"/>
    <w:charset w:val="86"/>
    <w:family w:val="auto"/>
    <w:pitch w:val="default"/>
    <w:sig w:usb0="00000000" w:usb1="00000000" w:usb2="00000010" w:usb3="00000000" w:csb0="0004000A"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 w:name="华文仿宋">
    <w:panose1 w:val="02010600040101010101"/>
    <w:charset w:val="86"/>
    <w:family w:val="auto"/>
    <w:pitch w:val="default"/>
    <w:sig w:usb0="00000287" w:usb1="080F0000" w:usb2="00000000" w:usb3="00000000" w:csb0="000400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F832D">
    <w:pPr>
      <w:pStyle w:val="3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14:paraId="4DC3B2E5">
                          <w:pPr>
                            <w:pStyle w:val="32"/>
                            <w:rPr>
                              <w:rStyle w:val="58"/>
                              <w:rFonts w:ascii="仿宋_GB2312" w:eastAsia="仿宋_GB2312"/>
                            </w:rPr>
                          </w:pPr>
                          <w:r>
                            <w:rPr>
                              <w:rFonts w:hint="eastAsia" w:ascii="仿宋_GB2312" w:eastAsia="仿宋_GB2312"/>
                            </w:rPr>
                            <w:fldChar w:fldCharType="begin"/>
                          </w:r>
                          <w:r>
                            <w:rPr>
                              <w:rStyle w:val="58"/>
                              <w:rFonts w:hint="eastAsia" w:ascii="仿宋_GB2312" w:eastAsia="仿宋_GB2312"/>
                            </w:rPr>
                            <w:instrText xml:space="preserve">PAGE  </w:instrText>
                          </w:r>
                          <w:r>
                            <w:rPr>
                              <w:rFonts w:hint="eastAsia" w:ascii="仿宋_GB2312" w:eastAsia="仿宋_GB2312"/>
                            </w:rPr>
                            <w:fldChar w:fldCharType="separate"/>
                          </w:r>
                          <w:r>
                            <w:rPr>
                              <w:rStyle w:val="58"/>
                              <w:rFonts w:ascii="仿宋_GB2312" w:eastAsia="仿宋_GB2312"/>
                            </w:rPr>
                            <w:t>85</w:t>
                          </w:r>
                          <w:r>
                            <w:rPr>
                              <w:rFonts w:hint="eastAsia" w:ascii="仿宋_GB2312" w:eastAsia="仿宋_GB2312"/>
                            </w:rPr>
                            <w:fldChar w:fldCharType="end"/>
                          </w:r>
                        </w:p>
                      </w:txbxContent>
                    </wps:txbx>
                    <wps:bodyPr rot="0" vert="horz" wrap="none" lIns="0" tIns="0" rIns="0" bIns="0" anchor="t" anchorCtr="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HIn3a/TAAAABQEAAA8A&#10;AAAAAAAAAQAgAAAAIgAAAGRycy9kb3ducmV2LnhtbFBLAQIUABQAAAAIAIdO4kBa3k9f4wEAAMcD&#10;AAAOAAAAAAAAAAEAIAAAACIBAABkcnMvZTJvRG9jLnhtbFBLBQYAAAAABgAGAFkBAAB3BQAAAAA=&#10;">
              <v:fill on="f" focussize="0,0"/>
              <v:stroke on="f" weight="1pt"/>
              <v:imagedata o:title=""/>
              <o:lock v:ext="edit" aspectratio="f"/>
              <v:textbox inset="0mm,0mm,0mm,0mm" style="mso-fit-shape-to-text:t;">
                <w:txbxContent>
                  <w:p w14:paraId="4DC3B2E5">
                    <w:pPr>
                      <w:pStyle w:val="32"/>
                      <w:rPr>
                        <w:rStyle w:val="58"/>
                        <w:rFonts w:ascii="仿宋_GB2312" w:eastAsia="仿宋_GB2312"/>
                      </w:rPr>
                    </w:pPr>
                    <w:r>
                      <w:rPr>
                        <w:rFonts w:hint="eastAsia" w:ascii="仿宋_GB2312" w:eastAsia="仿宋_GB2312"/>
                      </w:rPr>
                      <w:fldChar w:fldCharType="begin"/>
                    </w:r>
                    <w:r>
                      <w:rPr>
                        <w:rStyle w:val="58"/>
                        <w:rFonts w:hint="eastAsia" w:ascii="仿宋_GB2312" w:eastAsia="仿宋_GB2312"/>
                      </w:rPr>
                      <w:instrText xml:space="preserve">PAGE  </w:instrText>
                    </w:r>
                    <w:r>
                      <w:rPr>
                        <w:rFonts w:hint="eastAsia" w:ascii="仿宋_GB2312" w:eastAsia="仿宋_GB2312"/>
                      </w:rPr>
                      <w:fldChar w:fldCharType="separate"/>
                    </w:r>
                    <w:r>
                      <w:rPr>
                        <w:rStyle w:val="58"/>
                        <w:rFonts w:ascii="仿宋_GB2312" w:eastAsia="仿宋_GB2312"/>
                      </w:rPr>
                      <w:t>85</w:t>
                    </w:r>
                    <w:r>
                      <w:rPr>
                        <w:rFonts w:hint="eastAsia" w:ascii="仿宋_GB2312" w:eastAsia="仿宋_GB231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027B6">
    <w:pPr>
      <w:pStyle w:val="32"/>
      <w:framePr w:wrap="around" w:vAnchor="text" w:hAnchor="margin" w:xAlign="center" w:y="1"/>
      <w:rPr>
        <w:rStyle w:val="58"/>
      </w:rPr>
    </w:pPr>
    <w:r>
      <w:fldChar w:fldCharType="begin"/>
    </w:r>
    <w:r>
      <w:rPr>
        <w:rStyle w:val="58"/>
      </w:rPr>
      <w:instrText xml:space="preserve">PAGE  </w:instrText>
    </w:r>
    <w:r>
      <w:fldChar w:fldCharType="end"/>
    </w:r>
  </w:p>
  <w:p w14:paraId="4E8A9769">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7E63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3E811"/>
    <w:multiLevelType w:val="singleLevel"/>
    <w:tmpl w:val="8333E811"/>
    <w:lvl w:ilvl="0" w:tentative="0">
      <w:start w:val="4"/>
      <w:numFmt w:val="decimal"/>
      <w:suff w:val="nothing"/>
      <w:lvlText w:val="（%1）"/>
      <w:lvlJc w:val="left"/>
    </w:lvl>
  </w:abstractNum>
  <w:abstractNum w:abstractNumId="1">
    <w:nsid w:val="9D378623"/>
    <w:multiLevelType w:val="singleLevel"/>
    <w:tmpl w:val="9D378623"/>
    <w:lvl w:ilvl="0" w:tentative="0">
      <w:start w:val="3"/>
      <w:numFmt w:val="chineseCounting"/>
      <w:suff w:val="space"/>
      <w:lvlText w:val="第%1章"/>
      <w:lvlJc w:val="left"/>
      <w:rPr>
        <w:rFonts w:hint="eastAsia"/>
      </w:rPr>
    </w:lvl>
  </w:abstractNum>
  <w:abstractNum w:abstractNumId="2">
    <w:nsid w:val="BFD0D545"/>
    <w:multiLevelType w:val="singleLevel"/>
    <w:tmpl w:val="BFD0D545"/>
    <w:lvl w:ilvl="0" w:tentative="0">
      <w:start w:val="3"/>
      <w:numFmt w:val="decimal"/>
      <w:suff w:val="nothing"/>
      <w:lvlText w:val="（%1）"/>
      <w:lvlJc w:val="left"/>
    </w:lvl>
  </w:abstractNum>
  <w:abstractNum w:abstractNumId="3">
    <w:nsid w:val="C46BAA75"/>
    <w:multiLevelType w:val="singleLevel"/>
    <w:tmpl w:val="C46BAA75"/>
    <w:lvl w:ilvl="0" w:tentative="0">
      <w:start w:val="1"/>
      <w:numFmt w:val="none"/>
      <w:suff w:val="nothing"/>
      <w:lvlText w:val="%1　"/>
      <w:lvlJc w:val="left"/>
      <w:pPr>
        <w:ind w:left="0" w:firstLine="400"/>
      </w:pPr>
      <w:rPr>
        <w:rFonts w:hint="eastAsia"/>
      </w:rPr>
    </w:lvl>
  </w:abstractNum>
  <w:abstractNum w:abstractNumId="4">
    <w:nsid w:val="13478C87"/>
    <w:multiLevelType w:val="singleLevel"/>
    <w:tmpl w:val="13478C87"/>
    <w:lvl w:ilvl="0" w:tentative="0">
      <w:start w:val="6"/>
      <w:numFmt w:val="chineseCounting"/>
      <w:suff w:val="nothing"/>
      <w:lvlText w:val="%1、"/>
      <w:lvlJc w:val="left"/>
      <w:rPr>
        <w:rFonts w:hint="eastAsia"/>
      </w:rPr>
    </w:lvl>
  </w:abstractNum>
  <w:abstractNum w:abstractNumId="5">
    <w:nsid w:val="2BCB1050"/>
    <w:multiLevelType w:val="singleLevel"/>
    <w:tmpl w:val="2BCB1050"/>
    <w:lvl w:ilvl="0" w:tentative="0">
      <w:start w:val="1"/>
      <w:numFmt w:val="decimal"/>
      <w:suff w:val="nothing"/>
      <w:lvlText w:val="%1、"/>
      <w:lvlJc w:val="left"/>
    </w:lvl>
  </w:abstractNum>
  <w:abstractNum w:abstractNumId="6">
    <w:nsid w:val="4413C7ED"/>
    <w:multiLevelType w:val="singleLevel"/>
    <w:tmpl w:val="4413C7ED"/>
    <w:lvl w:ilvl="0" w:tentative="0">
      <w:start w:val="1"/>
      <w:numFmt w:val="decimal"/>
      <w:suff w:val="space"/>
      <w:lvlText w:val="%1."/>
      <w:lvlJc w:val="left"/>
    </w:lvl>
  </w:abstractNum>
  <w:abstractNum w:abstractNumId="7">
    <w:nsid w:val="7F7E5238"/>
    <w:multiLevelType w:val="multilevel"/>
    <w:tmpl w:val="7F7E5238"/>
    <w:lvl w:ilvl="0" w:tentative="0">
      <w:start w:val="1"/>
      <w:numFmt w:val="none"/>
      <w:pStyle w:val="15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91"/>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36"/>
      <w:lvlText w:val="           "/>
      <w:lvlJc w:val="left"/>
      <w:pPr>
        <w:tabs>
          <w:tab w:val="left" w:pos="1440"/>
        </w:tabs>
        <w:ind w:left="1152" w:hanging="1152"/>
      </w:pPr>
      <w:rPr>
        <w:rFonts w:hint="eastAsia"/>
      </w:rPr>
    </w:lvl>
    <w:lvl w:ilvl="6" w:tentative="0">
      <w:start w:val="1"/>
      <w:numFmt w:val="decimal"/>
      <w:pStyle w:val="156"/>
      <w:lvlText w:val="%1.%2.%3.%4.%5.%6.%7"/>
      <w:lvlJc w:val="left"/>
      <w:pPr>
        <w:tabs>
          <w:tab w:val="left" w:pos="2520"/>
        </w:tabs>
        <w:ind w:left="1296" w:hanging="1296"/>
      </w:pPr>
      <w:rPr>
        <w:rFonts w:hint="eastAsia"/>
      </w:rPr>
    </w:lvl>
    <w:lvl w:ilvl="7" w:tentative="0">
      <w:start w:val="1"/>
      <w:numFmt w:val="decimal"/>
      <w:pStyle w:val="189"/>
      <w:lvlText w:val="%1.%2.%3.%4.%5.%6.%7.%8"/>
      <w:lvlJc w:val="left"/>
      <w:pPr>
        <w:tabs>
          <w:tab w:val="left" w:pos="1440"/>
        </w:tabs>
        <w:ind w:left="1440" w:hanging="1440"/>
      </w:pPr>
      <w:rPr>
        <w:rFonts w:hint="eastAsia"/>
      </w:rPr>
    </w:lvl>
    <w:lvl w:ilvl="8" w:tentative="0">
      <w:start w:val="1"/>
      <w:numFmt w:val="decimal"/>
      <w:pStyle w:val="105"/>
      <w:lvlText w:val="%1.%2.%3.%4.%5.%6.%7.%8.%9"/>
      <w:lvlJc w:val="left"/>
      <w:pPr>
        <w:tabs>
          <w:tab w:val="left" w:pos="1584"/>
        </w:tabs>
        <w:ind w:left="1584" w:hanging="1584"/>
      </w:pPr>
      <w:rPr>
        <w:rFonts w:hint="eastAsia"/>
      </w:rPr>
    </w:lvl>
  </w:abstractNum>
  <w:num w:numId="1">
    <w:abstractNumId w:val="7"/>
  </w:num>
  <w:num w:numId="2">
    <w:abstractNumId w:val="2"/>
  </w:num>
  <w:num w:numId="3">
    <w:abstractNumId w:val="6"/>
  </w:num>
  <w:num w:numId="4">
    <w:abstractNumId w:val="1"/>
  </w:num>
  <w:num w:numId="5">
    <w:abstractNumId w:val="5"/>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461"/>
    <w:rsid w:val="000019D9"/>
    <w:rsid w:val="000019DD"/>
    <w:rsid w:val="00001C66"/>
    <w:rsid w:val="00002D91"/>
    <w:rsid w:val="000030F3"/>
    <w:rsid w:val="00003DA1"/>
    <w:rsid w:val="00005BB2"/>
    <w:rsid w:val="00006615"/>
    <w:rsid w:val="0000765A"/>
    <w:rsid w:val="000078B8"/>
    <w:rsid w:val="000102E1"/>
    <w:rsid w:val="0001052A"/>
    <w:rsid w:val="000110EA"/>
    <w:rsid w:val="00011973"/>
    <w:rsid w:val="000119D9"/>
    <w:rsid w:val="00012F97"/>
    <w:rsid w:val="00013020"/>
    <w:rsid w:val="00013F89"/>
    <w:rsid w:val="00014894"/>
    <w:rsid w:val="00014CCC"/>
    <w:rsid w:val="00020429"/>
    <w:rsid w:val="000219E9"/>
    <w:rsid w:val="00021C4F"/>
    <w:rsid w:val="0002210C"/>
    <w:rsid w:val="000223E2"/>
    <w:rsid w:val="00022756"/>
    <w:rsid w:val="0002308F"/>
    <w:rsid w:val="0002396A"/>
    <w:rsid w:val="00023E34"/>
    <w:rsid w:val="00024B4A"/>
    <w:rsid w:val="00024B88"/>
    <w:rsid w:val="000250D7"/>
    <w:rsid w:val="00026638"/>
    <w:rsid w:val="00027183"/>
    <w:rsid w:val="000308BD"/>
    <w:rsid w:val="00031800"/>
    <w:rsid w:val="00031F4B"/>
    <w:rsid w:val="00032363"/>
    <w:rsid w:val="00033008"/>
    <w:rsid w:val="00033094"/>
    <w:rsid w:val="00033535"/>
    <w:rsid w:val="00035C6F"/>
    <w:rsid w:val="00035DE8"/>
    <w:rsid w:val="0003614A"/>
    <w:rsid w:val="00036169"/>
    <w:rsid w:val="00036B4D"/>
    <w:rsid w:val="00036EA3"/>
    <w:rsid w:val="00036EE9"/>
    <w:rsid w:val="00037BBC"/>
    <w:rsid w:val="0004182B"/>
    <w:rsid w:val="00042A09"/>
    <w:rsid w:val="00042A5D"/>
    <w:rsid w:val="00042AE0"/>
    <w:rsid w:val="00042F9D"/>
    <w:rsid w:val="00043541"/>
    <w:rsid w:val="00043F3A"/>
    <w:rsid w:val="00045177"/>
    <w:rsid w:val="00045BA0"/>
    <w:rsid w:val="00046340"/>
    <w:rsid w:val="00046449"/>
    <w:rsid w:val="000465A6"/>
    <w:rsid w:val="00047377"/>
    <w:rsid w:val="00050532"/>
    <w:rsid w:val="00051056"/>
    <w:rsid w:val="0005181A"/>
    <w:rsid w:val="000528C6"/>
    <w:rsid w:val="00053EC0"/>
    <w:rsid w:val="000541B0"/>
    <w:rsid w:val="0005499C"/>
    <w:rsid w:val="00054AFE"/>
    <w:rsid w:val="00055257"/>
    <w:rsid w:val="00055609"/>
    <w:rsid w:val="00055C35"/>
    <w:rsid w:val="00056E98"/>
    <w:rsid w:val="0005725C"/>
    <w:rsid w:val="00057D7E"/>
    <w:rsid w:val="00057E5B"/>
    <w:rsid w:val="0006024A"/>
    <w:rsid w:val="00060CF4"/>
    <w:rsid w:val="00061584"/>
    <w:rsid w:val="00061BA9"/>
    <w:rsid w:val="00061F0A"/>
    <w:rsid w:val="00062EF6"/>
    <w:rsid w:val="00063257"/>
    <w:rsid w:val="000634CE"/>
    <w:rsid w:val="00063765"/>
    <w:rsid w:val="0006436C"/>
    <w:rsid w:val="00064B6F"/>
    <w:rsid w:val="00064B70"/>
    <w:rsid w:val="00066FAB"/>
    <w:rsid w:val="00071C48"/>
    <w:rsid w:val="00072109"/>
    <w:rsid w:val="000732BE"/>
    <w:rsid w:val="000737AC"/>
    <w:rsid w:val="000745C0"/>
    <w:rsid w:val="00074BE2"/>
    <w:rsid w:val="00075858"/>
    <w:rsid w:val="00076A82"/>
    <w:rsid w:val="00077D9C"/>
    <w:rsid w:val="00080092"/>
    <w:rsid w:val="00081A25"/>
    <w:rsid w:val="00081EEC"/>
    <w:rsid w:val="00082ABA"/>
    <w:rsid w:val="00082B19"/>
    <w:rsid w:val="000833B1"/>
    <w:rsid w:val="00083E91"/>
    <w:rsid w:val="0008436E"/>
    <w:rsid w:val="00085373"/>
    <w:rsid w:val="00085ACD"/>
    <w:rsid w:val="00085C64"/>
    <w:rsid w:val="00085FA8"/>
    <w:rsid w:val="000868D0"/>
    <w:rsid w:val="000877D7"/>
    <w:rsid w:val="00090452"/>
    <w:rsid w:val="000904A0"/>
    <w:rsid w:val="000906F8"/>
    <w:rsid w:val="0009082C"/>
    <w:rsid w:val="00090E14"/>
    <w:rsid w:val="000921A0"/>
    <w:rsid w:val="00092347"/>
    <w:rsid w:val="000925E9"/>
    <w:rsid w:val="00092C06"/>
    <w:rsid w:val="00094AA1"/>
    <w:rsid w:val="00096782"/>
    <w:rsid w:val="00097207"/>
    <w:rsid w:val="000A10AD"/>
    <w:rsid w:val="000A14D5"/>
    <w:rsid w:val="000A2093"/>
    <w:rsid w:val="000A2484"/>
    <w:rsid w:val="000A25BD"/>
    <w:rsid w:val="000A25C9"/>
    <w:rsid w:val="000A26BA"/>
    <w:rsid w:val="000A2A03"/>
    <w:rsid w:val="000A2AE5"/>
    <w:rsid w:val="000A2CA0"/>
    <w:rsid w:val="000A2DA7"/>
    <w:rsid w:val="000A4786"/>
    <w:rsid w:val="000A4846"/>
    <w:rsid w:val="000A4F09"/>
    <w:rsid w:val="000A588E"/>
    <w:rsid w:val="000A74C4"/>
    <w:rsid w:val="000B0326"/>
    <w:rsid w:val="000B0D81"/>
    <w:rsid w:val="000B10BA"/>
    <w:rsid w:val="000B17C0"/>
    <w:rsid w:val="000B1A25"/>
    <w:rsid w:val="000B1C86"/>
    <w:rsid w:val="000B2DCA"/>
    <w:rsid w:val="000B2EA3"/>
    <w:rsid w:val="000B3B78"/>
    <w:rsid w:val="000B4502"/>
    <w:rsid w:val="000B45ED"/>
    <w:rsid w:val="000B465B"/>
    <w:rsid w:val="000B64FD"/>
    <w:rsid w:val="000B711F"/>
    <w:rsid w:val="000C053D"/>
    <w:rsid w:val="000C0CE8"/>
    <w:rsid w:val="000C3780"/>
    <w:rsid w:val="000C3CF6"/>
    <w:rsid w:val="000C3DE3"/>
    <w:rsid w:val="000C5607"/>
    <w:rsid w:val="000C6D46"/>
    <w:rsid w:val="000C701B"/>
    <w:rsid w:val="000D002B"/>
    <w:rsid w:val="000D05C9"/>
    <w:rsid w:val="000D104C"/>
    <w:rsid w:val="000D106F"/>
    <w:rsid w:val="000D18DA"/>
    <w:rsid w:val="000D1D83"/>
    <w:rsid w:val="000D22F8"/>
    <w:rsid w:val="000D2302"/>
    <w:rsid w:val="000D25A6"/>
    <w:rsid w:val="000D3553"/>
    <w:rsid w:val="000D362C"/>
    <w:rsid w:val="000D569D"/>
    <w:rsid w:val="000D66D7"/>
    <w:rsid w:val="000D6768"/>
    <w:rsid w:val="000D72DC"/>
    <w:rsid w:val="000D779A"/>
    <w:rsid w:val="000E0493"/>
    <w:rsid w:val="000E15AF"/>
    <w:rsid w:val="000E2484"/>
    <w:rsid w:val="000E5ADA"/>
    <w:rsid w:val="000E6540"/>
    <w:rsid w:val="000E7533"/>
    <w:rsid w:val="000E7C16"/>
    <w:rsid w:val="000E7E35"/>
    <w:rsid w:val="000F0BB8"/>
    <w:rsid w:val="000F30B7"/>
    <w:rsid w:val="000F31DA"/>
    <w:rsid w:val="000F3C34"/>
    <w:rsid w:val="000F5501"/>
    <w:rsid w:val="000F6127"/>
    <w:rsid w:val="000F6A91"/>
    <w:rsid w:val="000F7527"/>
    <w:rsid w:val="0010005B"/>
    <w:rsid w:val="00100198"/>
    <w:rsid w:val="0010293D"/>
    <w:rsid w:val="00104E17"/>
    <w:rsid w:val="0010519E"/>
    <w:rsid w:val="0010564E"/>
    <w:rsid w:val="00105AA8"/>
    <w:rsid w:val="00106121"/>
    <w:rsid w:val="00106426"/>
    <w:rsid w:val="001070B1"/>
    <w:rsid w:val="00110C05"/>
    <w:rsid w:val="00112C88"/>
    <w:rsid w:val="00113859"/>
    <w:rsid w:val="00113BE8"/>
    <w:rsid w:val="00113FD0"/>
    <w:rsid w:val="001142AA"/>
    <w:rsid w:val="00114CEF"/>
    <w:rsid w:val="00117156"/>
    <w:rsid w:val="0012071E"/>
    <w:rsid w:val="0012073C"/>
    <w:rsid w:val="00120D75"/>
    <w:rsid w:val="00122910"/>
    <w:rsid w:val="00123C67"/>
    <w:rsid w:val="00123E04"/>
    <w:rsid w:val="00123E2A"/>
    <w:rsid w:val="00123E36"/>
    <w:rsid w:val="00125908"/>
    <w:rsid w:val="001259AF"/>
    <w:rsid w:val="00125AFD"/>
    <w:rsid w:val="00125C49"/>
    <w:rsid w:val="00125E15"/>
    <w:rsid w:val="001276C1"/>
    <w:rsid w:val="00127B5C"/>
    <w:rsid w:val="00127C6D"/>
    <w:rsid w:val="001319E4"/>
    <w:rsid w:val="00131CE5"/>
    <w:rsid w:val="00131E4D"/>
    <w:rsid w:val="00133192"/>
    <w:rsid w:val="00134155"/>
    <w:rsid w:val="00134802"/>
    <w:rsid w:val="00134B0A"/>
    <w:rsid w:val="001364FA"/>
    <w:rsid w:val="00137B93"/>
    <w:rsid w:val="00137F52"/>
    <w:rsid w:val="00140DB8"/>
    <w:rsid w:val="00141A5A"/>
    <w:rsid w:val="0014347A"/>
    <w:rsid w:val="00144B7C"/>
    <w:rsid w:val="00144DAC"/>
    <w:rsid w:val="0014511E"/>
    <w:rsid w:val="001454C8"/>
    <w:rsid w:val="00145939"/>
    <w:rsid w:val="00145B74"/>
    <w:rsid w:val="00145C28"/>
    <w:rsid w:val="00146130"/>
    <w:rsid w:val="00146E40"/>
    <w:rsid w:val="00147F81"/>
    <w:rsid w:val="001507E0"/>
    <w:rsid w:val="00151063"/>
    <w:rsid w:val="00151530"/>
    <w:rsid w:val="001521F2"/>
    <w:rsid w:val="00152511"/>
    <w:rsid w:val="0015301F"/>
    <w:rsid w:val="00153752"/>
    <w:rsid w:val="00153A85"/>
    <w:rsid w:val="00153F39"/>
    <w:rsid w:val="001545E0"/>
    <w:rsid w:val="00154AD4"/>
    <w:rsid w:val="00154F1C"/>
    <w:rsid w:val="00154FF0"/>
    <w:rsid w:val="0015641C"/>
    <w:rsid w:val="00157272"/>
    <w:rsid w:val="00157426"/>
    <w:rsid w:val="001603B4"/>
    <w:rsid w:val="00161E33"/>
    <w:rsid w:val="00161FE5"/>
    <w:rsid w:val="0016361A"/>
    <w:rsid w:val="00163821"/>
    <w:rsid w:val="00163ED3"/>
    <w:rsid w:val="0016668C"/>
    <w:rsid w:val="00166692"/>
    <w:rsid w:val="00166827"/>
    <w:rsid w:val="00166AFE"/>
    <w:rsid w:val="0017051A"/>
    <w:rsid w:val="00170E20"/>
    <w:rsid w:val="0017189E"/>
    <w:rsid w:val="00172519"/>
    <w:rsid w:val="00172A27"/>
    <w:rsid w:val="00173940"/>
    <w:rsid w:val="00174112"/>
    <w:rsid w:val="0017437F"/>
    <w:rsid w:val="001746A4"/>
    <w:rsid w:val="00174F95"/>
    <w:rsid w:val="001752AB"/>
    <w:rsid w:val="00176070"/>
    <w:rsid w:val="001762E6"/>
    <w:rsid w:val="00176B84"/>
    <w:rsid w:val="00176EAC"/>
    <w:rsid w:val="001828A5"/>
    <w:rsid w:val="001828BF"/>
    <w:rsid w:val="001831D8"/>
    <w:rsid w:val="00184243"/>
    <w:rsid w:val="00184D01"/>
    <w:rsid w:val="00185265"/>
    <w:rsid w:val="0018627D"/>
    <w:rsid w:val="00186B79"/>
    <w:rsid w:val="0019007C"/>
    <w:rsid w:val="001917E0"/>
    <w:rsid w:val="001929AC"/>
    <w:rsid w:val="00192D6E"/>
    <w:rsid w:val="001949CB"/>
    <w:rsid w:val="00194A84"/>
    <w:rsid w:val="00194D9B"/>
    <w:rsid w:val="00195166"/>
    <w:rsid w:val="00196390"/>
    <w:rsid w:val="00197F3B"/>
    <w:rsid w:val="001A007B"/>
    <w:rsid w:val="001A0938"/>
    <w:rsid w:val="001A109B"/>
    <w:rsid w:val="001A159E"/>
    <w:rsid w:val="001A2F36"/>
    <w:rsid w:val="001A4A9A"/>
    <w:rsid w:val="001A4C65"/>
    <w:rsid w:val="001A530A"/>
    <w:rsid w:val="001A5B8E"/>
    <w:rsid w:val="001A67CB"/>
    <w:rsid w:val="001A6A10"/>
    <w:rsid w:val="001B09C8"/>
    <w:rsid w:val="001B16A2"/>
    <w:rsid w:val="001B17F5"/>
    <w:rsid w:val="001B226C"/>
    <w:rsid w:val="001B3D39"/>
    <w:rsid w:val="001B4482"/>
    <w:rsid w:val="001B54DD"/>
    <w:rsid w:val="001B6B1C"/>
    <w:rsid w:val="001B713C"/>
    <w:rsid w:val="001C004F"/>
    <w:rsid w:val="001C04AE"/>
    <w:rsid w:val="001C142D"/>
    <w:rsid w:val="001C1ADD"/>
    <w:rsid w:val="001C1F19"/>
    <w:rsid w:val="001C2250"/>
    <w:rsid w:val="001C41D9"/>
    <w:rsid w:val="001C4EC4"/>
    <w:rsid w:val="001C4FD2"/>
    <w:rsid w:val="001C593A"/>
    <w:rsid w:val="001C5FD6"/>
    <w:rsid w:val="001C6830"/>
    <w:rsid w:val="001C6C76"/>
    <w:rsid w:val="001C7A9C"/>
    <w:rsid w:val="001D07B4"/>
    <w:rsid w:val="001D145C"/>
    <w:rsid w:val="001D1698"/>
    <w:rsid w:val="001D1A8C"/>
    <w:rsid w:val="001D31AA"/>
    <w:rsid w:val="001D41D1"/>
    <w:rsid w:val="001D4C9B"/>
    <w:rsid w:val="001D61C0"/>
    <w:rsid w:val="001D67E1"/>
    <w:rsid w:val="001D690E"/>
    <w:rsid w:val="001D697D"/>
    <w:rsid w:val="001D6DEC"/>
    <w:rsid w:val="001D767F"/>
    <w:rsid w:val="001D7863"/>
    <w:rsid w:val="001D7A55"/>
    <w:rsid w:val="001E04B9"/>
    <w:rsid w:val="001E2742"/>
    <w:rsid w:val="001E29CA"/>
    <w:rsid w:val="001E2BC9"/>
    <w:rsid w:val="001E2C4E"/>
    <w:rsid w:val="001E4C2E"/>
    <w:rsid w:val="001E6137"/>
    <w:rsid w:val="001E7DEB"/>
    <w:rsid w:val="001F04FF"/>
    <w:rsid w:val="001F0867"/>
    <w:rsid w:val="001F08A2"/>
    <w:rsid w:val="001F0DF2"/>
    <w:rsid w:val="001F1AA5"/>
    <w:rsid w:val="001F24E8"/>
    <w:rsid w:val="001F3770"/>
    <w:rsid w:val="001F4F5C"/>
    <w:rsid w:val="001F63FC"/>
    <w:rsid w:val="001F6F8F"/>
    <w:rsid w:val="0020117F"/>
    <w:rsid w:val="0020178E"/>
    <w:rsid w:val="00202192"/>
    <w:rsid w:val="0020234C"/>
    <w:rsid w:val="002024D2"/>
    <w:rsid w:val="00202F49"/>
    <w:rsid w:val="00203DF8"/>
    <w:rsid w:val="00204101"/>
    <w:rsid w:val="00204364"/>
    <w:rsid w:val="00205D3F"/>
    <w:rsid w:val="002060AE"/>
    <w:rsid w:val="002071BD"/>
    <w:rsid w:val="00207A3B"/>
    <w:rsid w:val="00210476"/>
    <w:rsid w:val="00211256"/>
    <w:rsid w:val="002119A5"/>
    <w:rsid w:val="002153F9"/>
    <w:rsid w:val="00215627"/>
    <w:rsid w:val="00216F0A"/>
    <w:rsid w:val="0021729D"/>
    <w:rsid w:val="00217673"/>
    <w:rsid w:val="00221ECE"/>
    <w:rsid w:val="00221FF8"/>
    <w:rsid w:val="002226B5"/>
    <w:rsid w:val="00222E71"/>
    <w:rsid w:val="00222F85"/>
    <w:rsid w:val="002233F3"/>
    <w:rsid w:val="00225FAA"/>
    <w:rsid w:val="00226266"/>
    <w:rsid w:val="00226608"/>
    <w:rsid w:val="00226C5A"/>
    <w:rsid w:val="00227160"/>
    <w:rsid w:val="00227386"/>
    <w:rsid w:val="00230B12"/>
    <w:rsid w:val="00230CE5"/>
    <w:rsid w:val="00231C32"/>
    <w:rsid w:val="00232726"/>
    <w:rsid w:val="002327BD"/>
    <w:rsid w:val="00233675"/>
    <w:rsid w:val="00233E6E"/>
    <w:rsid w:val="00234769"/>
    <w:rsid w:val="00234FFF"/>
    <w:rsid w:val="00235666"/>
    <w:rsid w:val="00235883"/>
    <w:rsid w:val="00235DF7"/>
    <w:rsid w:val="00236578"/>
    <w:rsid w:val="00236CA9"/>
    <w:rsid w:val="00236FB8"/>
    <w:rsid w:val="00240AF1"/>
    <w:rsid w:val="0024213B"/>
    <w:rsid w:val="002422DA"/>
    <w:rsid w:val="00244FA6"/>
    <w:rsid w:val="00246426"/>
    <w:rsid w:val="002507E8"/>
    <w:rsid w:val="0025387D"/>
    <w:rsid w:val="00253C78"/>
    <w:rsid w:val="00254443"/>
    <w:rsid w:val="00254CCC"/>
    <w:rsid w:val="00254DB7"/>
    <w:rsid w:val="00254F46"/>
    <w:rsid w:val="0025582E"/>
    <w:rsid w:val="00256C8E"/>
    <w:rsid w:val="00256DC6"/>
    <w:rsid w:val="00257B1A"/>
    <w:rsid w:val="00257BB3"/>
    <w:rsid w:val="00257C3E"/>
    <w:rsid w:val="00257FDC"/>
    <w:rsid w:val="002601F1"/>
    <w:rsid w:val="0026054C"/>
    <w:rsid w:val="0026070E"/>
    <w:rsid w:val="002640CA"/>
    <w:rsid w:val="002648E7"/>
    <w:rsid w:val="00265086"/>
    <w:rsid w:val="00265FA5"/>
    <w:rsid w:val="0026607B"/>
    <w:rsid w:val="002665CE"/>
    <w:rsid w:val="0026677E"/>
    <w:rsid w:val="00266D19"/>
    <w:rsid w:val="00267281"/>
    <w:rsid w:val="002679E6"/>
    <w:rsid w:val="00267DC0"/>
    <w:rsid w:val="002701ED"/>
    <w:rsid w:val="00270D23"/>
    <w:rsid w:val="0027102D"/>
    <w:rsid w:val="002714D0"/>
    <w:rsid w:val="00272C52"/>
    <w:rsid w:val="00272D4E"/>
    <w:rsid w:val="00272D69"/>
    <w:rsid w:val="0027368B"/>
    <w:rsid w:val="00273BEC"/>
    <w:rsid w:val="00276010"/>
    <w:rsid w:val="00276258"/>
    <w:rsid w:val="00276532"/>
    <w:rsid w:val="00277223"/>
    <w:rsid w:val="002774F6"/>
    <w:rsid w:val="00277B84"/>
    <w:rsid w:val="00277E31"/>
    <w:rsid w:val="00281108"/>
    <w:rsid w:val="002812A7"/>
    <w:rsid w:val="002812CD"/>
    <w:rsid w:val="002815A4"/>
    <w:rsid w:val="00282130"/>
    <w:rsid w:val="0028228D"/>
    <w:rsid w:val="00284EAB"/>
    <w:rsid w:val="00284F59"/>
    <w:rsid w:val="0028526E"/>
    <w:rsid w:val="002936C5"/>
    <w:rsid w:val="00295A39"/>
    <w:rsid w:val="00296BAE"/>
    <w:rsid w:val="0029746D"/>
    <w:rsid w:val="00297AC6"/>
    <w:rsid w:val="002A1A77"/>
    <w:rsid w:val="002A228C"/>
    <w:rsid w:val="002A2BD0"/>
    <w:rsid w:val="002A2F1B"/>
    <w:rsid w:val="002A309C"/>
    <w:rsid w:val="002A32D5"/>
    <w:rsid w:val="002A3D90"/>
    <w:rsid w:val="002A58E3"/>
    <w:rsid w:val="002A7E1F"/>
    <w:rsid w:val="002B09EE"/>
    <w:rsid w:val="002B0CC7"/>
    <w:rsid w:val="002B0D34"/>
    <w:rsid w:val="002B1536"/>
    <w:rsid w:val="002B2965"/>
    <w:rsid w:val="002B2B59"/>
    <w:rsid w:val="002B3C7E"/>
    <w:rsid w:val="002B423A"/>
    <w:rsid w:val="002B44E9"/>
    <w:rsid w:val="002B49A9"/>
    <w:rsid w:val="002B72EB"/>
    <w:rsid w:val="002C15B2"/>
    <w:rsid w:val="002C17DA"/>
    <w:rsid w:val="002C2260"/>
    <w:rsid w:val="002C2636"/>
    <w:rsid w:val="002C2AB9"/>
    <w:rsid w:val="002C4065"/>
    <w:rsid w:val="002C44D1"/>
    <w:rsid w:val="002C634F"/>
    <w:rsid w:val="002C6E7D"/>
    <w:rsid w:val="002C76F0"/>
    <w:rsid w:val="002C78E2"/>
    <w:rsid w:val="002D000B"/>
    <w:rsid w:val="002D0AB0"/>
    <w:rsid w:val="002D1076"/>
    <w:rsid w:val="002D2134"/>
    <w:rsid w:val="002D3380"/>
    <w:rsid w:val="002D3749"/>
    <w:rsid w:val="002D37A6"/>
    <w:rsid w:val="002D3B2C"/>
    <w:rsid w:val="002D3EF1"/>
    <w:rsid w:val="002D435B"/>
    <w:rsid w:val="002D48E2"/>
    <w:rsid w:val="002D4CB3"/>
    <w:rsid w:val="002D52DF"/>
    <w:rsid w:val="002D6433"/>
    <w:rsid w:val="002D7174"/>
    <w:rsid w:val="002E14B3"/>
    <w:rsid w:val="002E1DE3"/>
    <w:rsid w:val="002E299E"/>
    <w:rsid w:val="002E3481"/>
    <w:rsid w:val="002E3C72"/>
    <w:rsid w:val="002E45FA"/>
    <w:rsid w:val="002E47CA"/>
    <w:rsid w:val="002E48B9"/>
    <w:rsid w:val="002E4B18"/>
    <w:rsid w:val="002E597F"/>
    <w:rsid w:val="002E5D38"/>
    <w:rsid w:val="002E66A1"/>
    <w:rsid w:val="002E6A1E"/>
    <w:rsid w:val="002F0165"/>
    <w:rsid w:val="002F263C"/>
    <w:rsid w:val="002F2B9B"/>
    <w:rsid w:val="002F3724"/>
    <w:rsid w:val="002F3B56"/>
    <w:rsid w:val="002F4941"/>
    <w:rsid w:val="002F5997"/>
    <w:rsid w:val="002F5BCF"/>
    <w:rsid w:val="002F5D36"/>
    <w:rsid w:val="002F5F4C"/>
    <w:rsid w:val="002F60D8"/>
    <w:rsid w:val="002F67CF"/>
    <w:rsid w:val="00300DBD"/>
    <w:rsid w:val="00301854"/>
    <w:rsid w:val="00301939"/>
    <w:rsid w:val="00303612"/>
    <w:rsid w:val="00303751"/>
    <w:rsid w:val="003039DB"/>
    <w:rsid w:val="003040B2"/>
    <w:rsid w:val="0030443C"/>
    <w:rsid w:val="0030717D"/>
    <w:rsid w:val="00310460"/>
    <w:rsid w:val="003104AC"/>
    <w:rsid w:val="00310623"/>
    <w:rsid w:val="00310C43"/>
    <w:rsid w:val="00311531"/>
    <w:rsid w:val="003124E2"/>
    <w:rsid w:val="003147D9"/>
    <w:rsid w:val="00314E7D"/>
    <w:rsid w:val="00314FCD"/>
    <w:rsid w:val="003162E6"/>
    <w:rsid w:val="00316D5F"/>
    <w:rsid w:val="00317205"/>
    <w:rsid w:val="00323F94"/>
    <w:rsid w:val="0032427E"/>
    <w:rsid w:val="003248CE"/>
    <w:rsid w:val="0032512F"/>
    <w:rsid w:val="003257F2"/>
    <w:rsid w:val="00326B34"/>
    <w:rsid w:val="00327A7A"/>
    <w:rsid w:val="003300B5"/>
    <w:rsid w:val="003304F5"/>
    <w:rsid w:val="003306C4"/>
    <w:rsid w:val="00330894"/>
    <w:rsid w:val="00331467"/>
    <w:rsid w:val="0033180A"/>
    <w:rsid w:val="00332433"/>
    <w:rsid w:val="003326FE"/>
    <w:rsid w:val="00332D12"/>
    <w:rsid w:val="003342D8"/>
    <w:rsid w:val="003358E6"/>
    <w:rsid w:val="003362E9"/>
    <w:rsid w:val="0033634B"/>
    <w:rsid w:val="003367D4"/>
    <w:rsid w:val="00337584"/>
    <w:rsid w:val="00337A79"/>
    <w:rsid w:val="0034028F"/>
    <w:rsid w:val="00340F8D"/>
    <w:rsid w:val="00341570"/>
    <w:rsid w:val="00342878"/>
    <w:rsid w:val="0034299E"/>
    <w:rsid w:val="00343376"/>
    <w:rsid w:val="00344082"/>
    <w:rsid w:val="00344841"/>
    <w:rsid w:val="003448ED"/>
    <w:rsid w:val="00344EE8"/>
    <w:rsid w:val="0034507B"/>
    <w:rsid w:val="00345975"/>
    <w:rsid w:val="003461D6"/>
    <w:rsid w:val="00347758"/>
    <w:rsid w:val="003478A3"/>
    <w:rsid w:val="00347F6C"/>
    <w:rsid w:val="0035112F"/>
    <w:rsid w:val="00351F22"/>
    <w:rsid w:val="00352E8C"/>
    <w:rsid w:val="003540F6"/>
    <w:rsid w:val="00354668"/>
    <w:rsid w:val="00354D91"/>
    <w:rsid w:val="003568F5"/>
    <w:rsid w:val="00357724"/>
    <w:rsid w:val="00360186"/>
    <w:rsid w:val="00361CD9"/>
    <w:rsid w:val="00362076"/>
    <w:rsid w:val="003629F3"/>
    <w:rsid w:val="00363A9A"/>
    <w:rsid w:val="00363B28"/>
    <w:rsid w:val="00363ED9"/>
    <w:rsid w:val="003646AC"/>
    <w:rsid w:val="00364C8B"/>
    <w:rsid w:val="00365295"/>
    <w:rsid w:val="00365F2A"/>
    <w:rsid w:val="00366A25"/>
    <w:rsid w:val="00366C27"/>
    <w:rsid w:val="003671C7"/>
    <w:rsid w:val="00370636"/>
    <w:rsid w:val="003707C8"/>
    <w:rsid w:val="003715A1"/>
    <w:rsid w:val="00371989"/>
    <w:rsid w:val="0037237D"/>
    <w:rsid w:val="00372B0D"/>
    <w:rsid w:val="00372D94"/>
    <w:rsid w:val="00372F1C"/>
    <w:rsid w:val="00372FA0"/>
    <w:rsid w:val="003736F0"/>
    <w:rsid w:val="00373C30"/>
    <w:rsid w:val="00373DE8"/>
    <w:rsid w:val="003767E7"/>
    <w:rsid w:val="003774D0"/>
    <w:rsid w:val="00381A84"/>
    <w:rsid w:val="003821DE"/>
    <w:rsid w:val="00382C4E"/>
    <w:rsid w:val="00384603"/>
    <w:rsid w:val="00384FF2"/>
    <w:rsid w:val="003850AE"/>
    <w:rsid w:val="003853B4"/>
    <w:rsid w:val="00386B86"/>
    <w:rsid w:val="00386D0E"/>
    <w:rsid w:val="00387170"/>
    <w:rsid w:val="003911F1"/>
    <w:rsid w:val="00391565"/>
    <w:rsid w:val="0039164F"/>
    <w:rsid w:val="003916ED"/>
    <w:rsid w:val="00391C4C"/>
    <w:rsid w:val="00392C55"/>
    <w:rsid w:val="0039397D"/>
    <w:rsid w:val="00393B6D"/>
    <w:rsid w:val="00394B21"/>
    <w:rsid w:val="0039590C"/>
    <w:rsid w:val="00395A1C"/>
    <w:rsid w:val="00395DEA"/>
    <w:rsid w:val="00395F1B"/>
    <w:rsid w:val="00397D89"/>
    <w:rsid w:val="003A0053"/>
    <w:rsid w:val="003A01B6"/>
    <w:rsid w:val="003A0818"/>
    <w:rsid w:val="003A13BE"/>
    <w:rsid w:val="003A1FC6"/>
    <w:rsid w:val="003A2B28"/>
    <w:rsid w:val="003A495D"/>
    <w:rsid w:val="003A5438"/>
    <w:rsid w:val="003A70BE"/>
    <w:rsid w:val="003A7C59"/>
    <w:rsid w:val="003B052D"/>
    <w:rsid w:val="003B0906"/>
    <w:rsid w:val="003B09BA"/>
    <w:rsid w:val="003B1797"/>
    <w:rsid w:val="003B1960"/>
    <w:rsid w:val="003B1B57"/>
    <w:rsid w:val="003B1E03"/>
    <w:rsid w:val="003B225A"/>
    <w:rsid w:val="003B4583"/>
    <w:rsid w:val="003B4597"/>
    <w:rsid w:val="003B4CBD"/>
    <w:rsid w:val="003B5E27"/>
    <w:rsid w:val="003B5E59"/>
    <w:rsid w:val="003B5FCE"/>
    <w:rsid w:val="003B6700"/>
    <w:rsid w:val="003B7569"/>
    <w:rsid w:val="003C0A97"/>
    <w:rsid w:val="003C0BA3"/>
    <w:rsid w:val="003C1D2C"/>
    <w:rsid w:val="003C532B"/>
    <w:rsid w:val="003C5396"/>
    <w:rsid w:val="003C580D"/>
    <w:rsid w:val="003C5D7A"/>
    <w:rsid w:val="003C6964"/>
    <w:rsid w:val="003C7270"/>
    <w:rsid w:val="003D11ED"/>
    <w:rsid w:val="003D1F76"/>
    <w:rsid w:val="003D20AA"/>
    <w:rsid w:val="003D3903"/>
    <w:rsid w:val="003D4318"/>
    <w:rsid w:val="003D4971"/>
    <w:rsid w:val="003D4E39"/>
    <w:rsid w:val="003D51CA"/>
    <w:rsid w:val="003D5393"/>
    <w:rsid w:val="003D61D2"/>
    <w:rsid w:val="003D66F2"/>
    <w:rsid w:val="003D6879"/>
    <w:rsid w:val="003D7681"/>
    <w:rsid w:val="003D7893"/>
    <w:rsid w:val="003E0261"/>
    <w:rsid w:val="003E0E74"/>
    <w:rsid w:val="003E0FE1"/>
    <w:rsid w:val="003E10EF"/>
    <w:rsid w:val="003E13E6"/>
    <w:rsid w:val="003E183F"/>
    <w:rsid w:val="003E2E74"/>
    <w:rsid w:val="003E3D34"/>
    <w:rsid w:val="003E42EE"/>
    <w:rsid w:val="003E55C6"/>
    <w:rsid w:val="003E5FC3"/>
    <w:rsid w:val="003E61FF"/>
    <w:rsid w:val="003E74ED"/>
    <w:rsid w:val="003E777E"/>
    <w:rsid w:val="003F0FAA"/>
    <w:rsid w:val="003F1CB0"/>
    <w:rsid w:val="003F1E6A"/>
    <w:rsid w:val="003F272B"/>
    <w:rsid w:val="003F2F68"/>
    <w:rsid w:val="003F3504"/>
    <w:rsid w:val="003F368A"/>
    <w:rsid w:val="003F3972"/>
    <w:rsid w:val="003F3B45"/>
    <w:rsid w:val="003F5A45"/>
    <w:rsid w:val="00400851"/>
    <w:rsid w:val="00400DC8"/>
    <w:rsid w:val="0040207E"/>
    <w:rsid w:val="004034CC"/>
    <w:rsid w:val="0040587E"/>
    <w:rsid w:val="00406B70"/>
    <w:rsid w:val="0040743D"/>
    <w:rsid w:val="00407C80"/>
    <w:rsid w:val="0041055D"/>
    <w:rsid w:val="00410FD5"/>
    <w:rsid w:val="004118D3"/>
    <w:rsid w:val="00411A4A"/>
    <w:rsid w:val="00412A62"/>
    <w:rsid w:val="00413E15"/>
    <w:rsid w:val="00414D48"/>
    <w:rsid w:val="0041578C"/>
    <w:rsid w:val="00416148"/>
    <w:rsid w:val="0041640B"/>
    <w:rsid w:val="0041644E"/>
    <w:rsid w:val="0041741D"/>
    <w:rsid w:val="0041744F"/>
    <w:rsid w:val="004176A6"/>
    <w:rsid w:val="0041788D"/>
    <w:rsid w:val="00417F7E"/>
    <w:rsid w:val="00422263"/>
    <w:rsid w:val="00423F31"/>
    <w:rsid w:val="00424343"/>
    <w:rsid w:val="004247E7"/>
    <w:rsid w:val="004254E4"/>
    <w:rsid w:val="0042641B"/>
    <w:rsid w:val="00426B61"/>
    <w:rsid w:val="00426D10"/>
    <w:rsid w:val="0042766C"/>
    <w:rsid w:val="00427E57"/>
    <w:rsid w:val="00430306"/>
    <w:rsid w:val="004304FB"/>
    <w:rsid w:val="00430F8C"/>
    <w:rsid w:val="00431722"/>
    <w:rsid w:val="00431A79"/>
    <w:rsid w:val="00432500"/>
    <w:rsid w:val="004329E5"/>
    <w:rsid w:val="00435627"/>
    <w:rsid w:val="004362DD"/>
    <w:rsid w:val="00436669"/>
    <w:rsid w:val="00436801"/>
    <w:rsid w:val="00436AB2"/>
    <w:rsid w:val="00443529"/>
    <w:rsid w:val="00443775"/>
    <w:rsid w:val="00443AD9"/>
    <w:rsid w:val="00443EBF"/>
    <w:rsid w:val="004500AE"/>
    <w:rsid w:val="00450AA3"/>
    <w:rsid w:val="00450F52"/>
    <w:rsid w:val="004513AA"/>
    <w:rsid w:val="004527CF"/>
    <w:rsid w:val="00452AEC"/>
    <w:rsid w:val="00452DEB"/>
    <w:rsid w:val="00453E80"/>
    <w:rsid w:val="004545D2"/>
    <w:rsid w:val="004545D3"/>
    <w:rsid w:val="004548C7"/>
    <w:rsid w:val="00454FC3"/>
    <w:rsid w:val="004554A9"/>
    <w:rsid w:val="00455848"/>
    <w:rsid w:val="004565FA"/>
    <w:rsid w:val="00457412"/>
    <w:rsid w:val="004601EA"/>
    <w:rsid w:val="004609AE"/>
    <w:rsid w:val="00460DB0"/>
    <w:rsid w:val="004613C3"/>
    <w:rsid w:val="004620B6"/>
    <w:rsid w:val="004627BA"/>
    <w:rsid w:val="004635B9"/>
    <w:rsid w:val="00463A7A"/>
    <w:rsid w:val="004651AC"/>
    <w:rsid w:val="00465417"/>
    <w:rsid w:val="00465EA1"/>
    <w:rsid w:val="00466180"/>
    <w:rsid w:val="0046757F"/>
    <w:rsid w:val="004679F2"/>
    <w:rsid w:val="00470F69"/>
    <w:rsid w:val="0047115B"/>
    <w:rsid w:val="00472C62"/>
    <w:rsid w:val="00473D65"/>
    <w:rsid w:val="00473E2C"/>
    <w:rsid w:val="00474539"/>
    <w:rsid w:val="00474782"/>
    <w:rsid w:val="004747C9"/>
    <w:rsid w:val="00475CA1"/>
    <w:rsid w:val="00476ADF"/>
    <w:rsid w:val="00476E38"/>
    <w:rsid w:val="00477D4D"/>
    <w:rsid w:val="00480889"/>
    <w:rsid w:val="004810BE"/>
    <w:rsid w:val="004815B6"/>
    <w:rsid w:val="00482563"/>
    <w:rsid w:val="00482B2E"/>
    <w:rsid w:val="0048314B"/>
    <w:rsid w:val="00485441"/>
    <w:rsid w:val="0048660E"/>
    <w:rsid w:val="004866B8"/>
    <w:rsid w:val="004869FA"/>
    <w:rsid w:val="00486F0E"/>
    <w:rsid w:val="00487120"/>
    <w:rsid w:val="00490447"/>
    <w:rsid w:val="004910EE"/>
    <w:rsid w:val="00491492"/>
    <w:rsid w:val="00491EF0"/>
    <w:rsid w:val="004923FF"/>
    <w:rsid w:val="004933CF"/>
    <w:rsid w:val="0049350A"/>
    <w:rsid w:val="00493C9D"/>
    <w:rsid w:val="00495238"/>
    <w:rsid w:val="004955A9"/>
    <w:rsid w:val="00495C3F"/>
    <w:rsid w:val="00495EDA"/>
    <w:rsid w:val="004960DF"/>
    <w:rsid w:val="0049658E"/>
    <w:rsid w:val="00497B30"/>
    <w:rsid w:val="004A010E"/>
    <w:rsid w:val="004A0217"/>
    <w:rsid w:val="004A0AD1"/>
    <w:rsid w:val="004A2A04"/>
    <w:rsid w:val="004A359F"/>
    <w:rsid w:val="004A4C6F"/>
    <w:rsid w:val="004A5E76"/>
    <w:rsid w:val="004A6851"/>
    <w:rsid w:val="004A6F55"/>
    <w:rsid w:val="004B0636"/>
    <w:rsid w:val="004B0ECA"/>
    <w:rsid w:val="004B1463"/>
    <w:rsid w:val="004B1F2A"/>
    <w:rsid w:val="004B2176"/>
    <w:rsid w:val="004B3888"/>
    <w:rsid w:val="004B428C"/>
    <w:rsid w:val="004B4720"/>
    <w:rsid w:val="004B48FF"/>
    <w:rsid w:val="004B6035"/>
    <w:rsid w:val="004B60BE"/>
    <w:rsid w:val="004B6550"/>
    <w:rsid w:val="004B6C8C"/>
    <w:rsid w:val="004B7477"/>
    <w:rsid w:val="004B7F7F"/>
    <w:rsid w:val="004C11D0"/>
    <w:rsid w:val="004C197E"/>
    <w:rsid w:val="004C3BA9"/>
    <w:rsid w:val="004C3FF0"/>
    <w:rsid w:val="004C45EC"/>
    <w:rsid w:val="004C4DEE"/>
    <w:rsid w:val="004C4E80"/>
    <w:rsid w:val="004C52CE"/>
    <w:rsid w:val="004C64ED"/>
    <w:rsid w:val="004C793D"/>
    <w:rsid w:val="004D022A"/>
    <w:rsid w:val="004D024A"/>
    <w:rsid w:val="004D0262"/>
    <w:rsid w:val="004D03D7"/>
    <w:rsid w:val="004D053C"/>
    <w:rsid w:val="004D098B"/>
    <w:rsid w:val="004D0A17"/>
    <w:rsid w:val="004D1CBB"/>
    <w:rsid w:val="004D26F7"/>
    <w:rsid w:val="004D2934"/>
    <w:rsid w:val="004D3313"/>
    <w:rsid w:val="004D3576"/>
    <w:rsid w:val="004D392D"/>
    <w:rsid w:val="004D396B"/>
    <w:rsid w:val="004D6EEF"/>
    <w:rsid w:val="004D7715"/>
    <w:rsid w:val="004D7870"/>
    <w:rsid w:val="004D7FBF"/>
    <w:rsid w:val="004E2162"/>
    <w:rsid w:val="004E3BC2"/>
    <w:rsid w:val="004E4006"/>
    <w:rsid w:val="004E47FC"/>
    <w:rsid w:val="004E49D7"/>
    <w:rsid w:val="004E4A7E"/>
    <w:rsid w:val="004E530C"/>
    <w:rsid w:val="004E5396"/>
    <w:rsid w:val="004E632F"/>
    <w:rsid w:val="004E67DC"/>
    <w:rsid w:val="004E714D"/>
    <w:rsid w:val="004F0D60"/>
    <w:rsid w:val="004F1D8D"/>
    <w:rsid w:val="004F2769"/>
    <w:rsid w:val="004F2D32"/>
    <w:rsid w:val="004F2E74"/>
    <w:rsid w:val="004F32AB"/>
    <w:rsid w:val="004F354E"/>
    <w:rsid w:val="004F42D5"/>
    <w:rsid w:val="004F4A05"/>
    <w:rsid w:val="004F4B5D"/>
    <w:rsid w:val="004F4C73"/>
    <w:rsid w:val="004F5228"/>
    <w:rsid w:val="004F532B"/>
    <w:rsid w:val="004F5B37"/>
    <w:rsid w:val="004F6BE0"/>
    <w:rsid w:val="004F6FA4"/>
    <w:rsid w:val="004F7733"/>
    <w:rsid w:val="004F7D67"/>
    <w:rsid w:val="00500358"/>
    <w:rsid w:val="005011DB"/>
    <w:rsid w:val="0050135B"/>
    <w:rsid w:val="005019AB"/>
    <w:rsid w:val="005020C9"/>
    <w:rsid w:val="005025B9"/>
    <w:rsid w:val="00502F38"/>
    <w:rsid w:val="00502F66"/>
    <w:rsid w:val="00503966"/>
    <w:rsid w:val="00503CD1"/>
    <w:rsid w:val="00503CEC"/>
    <w:rsid w:val="00504BA1"/>
    <w:rsid w:val="00504BCB"/>
    <w:rsid w:val="00504C81"/>
    <w:rsid w:val="00504D55"/>
    <w:rsid w:val="00504D5C"/>
    <w:rsid w:val="00506483"/>
    <w:rsid w:val="0050773C"/>
    <w:rsid w:val="005109E0"/>
    <w:rsid w:val="00510ACA"/>
    <w:rsid w:val="00511964"/>
    <w:rsid w:val="00511BDA"/>
    <w:rsid w:val="0051302C"/>
    <w:rsid w:val="00513877"/>
    <w:rsid w:val="005141EF"/>
    <w:rsid w:val="005147B5"/>
    <w:rsid w:val="00516AF9"/>
    <w:rsid w:val="00516BA3"/>
    <w:rsid w:val="005170F4"/>
    <w:rsid w:val="00520927"/>
    <w:rsid w:val="00521E5C"/>
    <w:rsid w:val="005224D9"/>
    <w:rsid w:val="00522BEB"/>
    <w:rsid w:val="00522C4F"/>
    <w:rsid w:val="00523414"/>
    <w:rsid w:val="00523B75"/>
    <w:rsid w:val="005243F4"/>
    <w:rsid w:val="0052543E"/>
    <w:rsid w:val="00526024"/>
    <w:rsid w:val="00526DCB"/>
    <w:rsid w:val="00527F80"/>
    <w:rsid w:val="00531621"/>
    <w:rsid w:val="00531FF7"/>
    <w:rsid w:val="00532164"/>
    <w:rsid w:val="00535DBE"/>
    <w:rsid w:val="00535EEF"/>
    <w:rsid w:val="00536CC0"/>
    <w:rsid w:val="005371EF"/>
    <w:rsid w:val="005372B6"/>
    <w:rsid w:val="00540235"/>
    <w:rsid w:val="00540EFA"/>
    <w:rsid w:val="00541016"/>
    <w:rsid w:val="00541C39"/>
    <w:rsid w:val="00541D75"/>
    <w:rsid w:val="00543576"/>
    <w:rsid w:val="00544A8B"/>
    <w:rsid w:val="00545811"/>
    <w:rsid w:val="00546D91"/>
    <w:rsid w:val="00546F62"/>
    <w:rsid w:val="005502F4"/>
    <w:rsid w:val="0055072F"/>
    <w:rsid w:val="0055138C"/>
    <w:rsid w:val="00551FCF"/>
    <w:rsid w:val="0055318B"/>
    <w:rsid w:val="005535D4"/>
    <w:rsid w:val="005539C0"/>
    <w:rsid w:val="00553CA8"/>
    <w:rsid w:val="00553E55"/>
    <w:rsid w:val="00553FDC"/>
    <w:rsid w:val="005548EE"/>
    <w:rsid w:val="00554B98"/>
    <w:rsid w:val="00554FE5"/>
    <w:rsid w:val="0055590E"/>
    <w:rsid w:val="00555969"/>
    <w:rsid w:val="00555DC0"/>
    <w:rsid w:val="00556BE3"/>
    <w:rsid w:val="00556DA3"/>
    <w:rsid w:val="00556E33"/>
    <w:rsid w:val="0056004D"/>
    <w:rsid w:val="0056066D"/>
    <w:rsid w:val="005620B3"/>
    <w:rsid w:val="00562235"/>
    <w:rsid w:val="00562268"/>
    <w:rsid w:val="005624C8"/>
    <w:rsid w:val="00562E83"/>
    <w:rsid w:val="0056303F"/>
    <w:rsid w:val="0056322D"/>
    <w:rsid w:val="00564366"/>
    <w:rsid w:val="00564610"/>
    <w:rsid w:val="00564B05"/>
    <w:rsid w:val="00564BA2"/>
    <w:rsid w:val="00571CC8"/>
    <w:rsid w:val="00573863"/>
    <w:rsid w:val="0057551F"/>
    <w:rsid w:val="0057567B"/>
    <w:rsid w:val="00575E34"/>
    <w:rsid w:val="0057690C"/>
    <w:rsid w:val="00576EA4"/>
    <w:rsid w:val="00577941"/>
    <w:rsid w:val="00577CCF"/>
    <w:rsid w:val="00580715"/>
    <w:rsid w:val="00581982"/>
    <w:rsid w:val="00584B20"/>
    <w:rsid w:val="00584EBC"/>
    <w:rsid w:val="00585B98"/>
    <w:rsid w:val="00586347"/>
    <w:rsid w:val="00586BEF"/>
    <w:rsid w:val="00587480"/>
    <w:rsid w:val="00587868"/>
    <w:rsid w:val="005879A0"/>
    <w:rsid w:val="00587EA0"/>
    <w:rsid w:val="0059023F"/>
    <w:rsid w:val="005906A4"/>
    <w:rsid w:val="00590835"/>
    <w:rsid w:val="00591231"/>
    <w:rsid w:val="005926E3"/>
    <w:rsid w:val="00592BC6"/>
    <w:rsid w:val="00592E8A"/>
    <w:rsid w:val="005939C1"/>
    <w:rsid w:val="00593EF8"/>
    <w:rsid w:val="00593F7B"/>
    <w:rsid w:val="005946DC"/>
    <w:rsid w:val="0059470F"/>
    <w:rsid w:val="0059471B"/>
    <w:rsid w:val="00594792"/>
    <w:rsid w:val="00594913"/>
    <w:rsid w:val="00594A8E"/>
    <w:rsid w:val="00594AD6"/>
    <w:rsid w:val="00594B19"/>
    <w:rsid w:val="00594D6D"/>
    <w:rsid w:val="005956FD"/>
    <w:rsid w:val="005961D1"/>
    <w:rsid w:val="005965D1"/>
    <w:rsid w:val="00597189"/>
    <w:rsid w:val="005A104B"/>
    <w:rsid w:val="005A1FB7"/>
    <w:rsid w:val="005A257F"/>
    <w:rsid w:val="005A2961"/>
    <w:rsid w:val="005A2A27"/>
    <w:rsid w:val="005A4BE8"/>
    <w:rsid w:val="005A5723"/>
    <w:rsid w:val="005A6496"/>
    <w:rsid w:val="005A6794"/>
    <w:rsid w:val="005A6E1B"/>
    <w:rsid w:val="005A706E"/>
    <w:rsid w:val="005A7746"/>
    <w:rsid w:val="005A7F78"/>
    <w:rsid w:val="005B0F2E"/>
    <w:rsid w:val="005B23B8"/>
    <w:rsid w:val="005B2ADB"/>
    <w:rsid w:val="005B2E05"/>
    <w:rsid w:val="005B3C35"/>
    <w:rsid w:val="005B434B"/>
    <w:rsid w:val="005B55B5"/>
    <w:rsid w:val="005B6550"/>
    <w:rsid w:val="005B6BFD"/>
    <w:rsid w:val="005B749F"/>
    <w:rsid w:val="005B7D40"/>
    <w:rsid w:val="005C0DC4"/>
    <w:rsid w:val="005C11D4"/>
    <w:rsid w:val="005C2388"/>
    <w:rsid w:val="005C3E33"/>
    <w:rsid w:val="005C4774"/>
    <w:rsid w:val="005C59BB"/>
    <w:rsid w:val="005C747E"/>
    <w:rsid w:val="005C7C16"/>
    <w:rsid w:val="005D026F"/>
    <w:rsid w:val="005D0B68"/>
    <w:rsid w:val="005D1249"/>
    <w:rsid w:val="005D14B9"/>
    <w:rsid w:val="005D271E"/>
    <w:rsid w:val="005D4328"/>
    <w:rsid w:val="005D4354"/>
    <w:rsid w:val="005D44E7"/>
    <w:rsid w:val="005D58CF"/>
    <w:rsid w:val="005D5A07"/>
    <w:rsid w:val="005D5BB7"/>
    <w:rsid w:val="005D6C4C"/>
    <w:rsid w:val="005D71EF"/>
    <w:rsid w:val="005E0000"/>
    <w:rsid w:val="005E2D6D"/>
    <w:rsid w:val="005E3D4C"/>
    <w:rsid w:val="005E4E4F"/>
    <w:rsid w:val="005E4F88"/>
    <w:rsid w:val="005E503B"/>
    <w:rsid w:val="005E5F89"/>
    <w:rsid w:val="005E5F90"/>
    <w:rsid w:val="005E6091"/>
    <w:rsid w:val="005F24F2"/>
    <w:rsid w:val="005F346B"/>
    <w:rsid w:val="005F39D5"/>
    <w:rsid w:val="005F3FC8"/>
    <w:rsid w:val="005F41E4"/>
    <w:rsid w:val="005F4E95"/>
    <w:rsid w:val="005F5259"/>
    <w:rsid w:val="005F7619"/>
    <w:rsid w:val="006003E9"/>
    <w:rsid w:val="00601521"/>
    <w:rsid w:val="006017C0"/>
    <w:rsid w:val="00601FDA"/>
    <w:rsid w:val="00603E51"/>
    <w:rsid w:val="00604DA0"/>
    <w:rsid w:val="006050D3"/>
    <w:rsid w:val="00605314"/>
    <w:rsid w:val="006061AF"/>
    <w:rsid w:val="00606E1B"/>
    <w:rsid w:val="0060787C"/>
    <w:rsid w:val="00607C58"/>
    <w:rsid w:val="006110D8"/>
    <w:rsid w:val="00611263"/>
    <w:rsid w:val="00611ECA"/>
    <w:rsid w:val="006120E3"/>
    <w:rsid w:val="00612463"/>
    <w:rsid w:val="00612B18"/>
    <w:rsid w:val="00613E64"/>
    <w:rsid w:val="00614AD4"/>
    <w:rsid w:val="00614CBE"/>
    <w:rsid w:val="0061505C"/>
    <w:rsid w:val="00615F54"/>
    <w:rsid w:val="006176F4"/>
    <w:rsid w:val="00617BB2"/>
    <w:rsid w:val="00621A42"/>
    <w:rsid w:val="00622417"/>
    <w:rsid w:val="00622633"/>
    <w:rsid w:val="00623956"/>
    <w:rsid w:val="006240AA"/>
    <w:rsid w:val="006249C1"/>
    <w:rsid w:val="00624A1D"/>
    <w:rsid w:val="0062647F"/>
    <w:rsid w:val="00626727"/>
    <w:rsid w:val="00626B48"/>
    <w:rsid w:val="00626CCB"/>
    <w:rsid w:val="00626FB3"/>
    <w:rsid w:val="00627CC6"/>
    <w:rsid w:val="00630C94"/>
    <w:rsid w:val="00631E12"/>
    <w:rsid w:val="00632B6F"/>
    <w:rsid w:val="00632CA3"/>
    <w:rsid w:val="00633BF2"/>
    <w:rsid w:val="00633CAA"/>
    <w:rsid w:val="0063419D"/>
    <w:rsid w:val="006360B4"/>
    <w:rsid w:val="00637353"/>
    <w:rsid w:val="00637AF7"/>
    <w:rsid w:val="00637C6A"/>
    <w:rsid w:val="006401CD"/>
    <w:rsid w:val="006412D0"/>
    <w:rsid w:val="00642852"/>
    <w:rsid w:val="0064296F"/>
    <w:rsid w:val="00644AC4"/>
    <w:rsid w:val="00644DFC"/>
    <w:rsid w:val="00650369"/>
    <w:rsid w:val="00651A52"/>
    <w:rsid w:val="00651BCD"/>
    <w:rsid w:val="00652382"/>
    <w:rsid w:val="006540C1"/>
    <w:rsid w:val="006544C5"/>
    <w:rsid w:val="00654C68"/>
    <w:rsid w:val="00654F78"/>
    <w:rsid w:val="00654FAA"/>
    <w:rsid w:val="00655176"/>
    <w:rsid w:val="00656B6E"/>
    <w:rsid w:val="00660886"/>
    <w:rsid w:val="00661D14"/>
    <w:rsid w:val="00661FB2"/>
    <w:rsid w:val="006624DF"/>
    <w:rsid w:val="006626FA"/>
    <w:rsid w:val="00662B49"/>
    <w:rsid w:val="00663E56"/>
    <w:rsid w:val="00664D79"/>
    <w:rsid w:val="00665238"/>
    <w:rsid w:val="006654F1"/>
    <w:rsid w:val="00665CF0"/>
    <w:rsid w:val="006666DB"/>
    <w:rsid w:val="0066767F"/>
    <w:rsid w:val="00670325"/>
    <w:rsid w:val="00670A7B"/>
    <w:rsid w:val="00671CB7"/>
    <w:rsid w:val="00672313"/>
    <w:rsid w:val="00672AFF"/>
    <w:rsid w:val="00673307"/>
    <w:rsid w:val="00673759"/>
    <w:rsid w:val="0067387C"/>
    <w:rsid w:val="00673BE0"/>
    <w:rsid w:val="0067446B"/>
    <w:rsid w:val="006758AC"/>
    <w:rsid w:val="00675CEE"/>
    <w:rsid w:val="00676238"/>
    <w:rsid w:val="00676486"/>
    <w:rsid w:val="006764E3"/>
    <w:rsid w:val="00676527"/>
    <w:rsid w:val="00676FA5"/>
    <w:rsid w:val="0067766B"/>
    <w:rsid w:val="00680804"/>
    <w:rsid w:val="00680B31"/>
    <w:rsid w:val="0068329B"/>
    <w:rsid w:val="006845B3"/>
    <w:rsid w:val="00685001"/>
    <w:rsid w:val="006857D5"/>
    <w:rsid w:val="00685A6C"/>
    <w:rsid w:val="006867F4"/>
    <w:rsid w:val="0068754C"/>
    <w:rsid w:val="00690D15"/>
    <w:rsid w:val="00691D93"/>
    <w:rsid w:val="00692169"/>
    <w:rsid w:val="006923F8"/>
    <w:rsid w:val="00693CB1"/>
    <w:rsid w:val="00694B61"/>
    <w:rsid w:val="0069656B"/>
    <w:rsid w:val="00697C3B"/>
    <w:rsid w:val="006A04FC"/>
    <w:rsid w:val="006A243C"/>
    <w:rsid w:val="006A2FAE"/>
    <w:rsid w:val="006A349A"/>
    <w:rsid w:val="006A37D7"/>
    <w:rsid w:val="006A3A00"/>
    <w:rsid w:val="006A3EB2"/>
    <w:rsid w:val="006A419A"/>
    <w:rsid w:val="006A4264"/>
    <w:rsid w:val="006A50C9"/>
    <w:rsid w:val="006A56D4"/>
    <w:rsid w:val="006A578C"/>
    <w:rsid w:val="006A5C31"/>
    <w:rsid w:val="006A5D30"/>
    <w:rsid w:val="006A62EF"/>
    <w:rsid w:val="006A6376"/>
    <w:rsid w:val="006A6B8F"/>
    <w:rsid w:val="006A74FD"/>
    <w:rsid w:val="006B043E"/>
    <w:rsid w:val="006B1178"/>
    <w:rsid w:val="006B17A9"/>
    <w:rsid w:val="006B2762"/>
    <w:rsid w:val="006B2E15"/>
    <w:rsid w:val="006B3106"/>
    <w:rsid w:val="006B3AD4"/>
    <w:rsid w:val="006B40DA"/>
    <w:rsid w:val="006B504C"/>
    <w:rsid w:val="006B5D88"/>
    <w:rsid w:val="006B5FA2"/>
    <w:rsid w:val="006B631E"/>
    <w:rsid w:val="006B63F3"/>
    <w:rsid w:val="006B78C8"/>
    <w:rsid w:val="006B7C83"/>
    <w:rsid w:val="006C0BE3"/>
    <w:rsid w:val="006C0CD4"/>
    <w:rsid w:val="006C0FB3"/>
    <w:rsid w:val="006C1123"/>
    <w:rsid w:val="006C1C09"/>
    <w:rsid w:val="006C2B87"/>
    <w:rsid w:val="006C2D43"/>
    <w:rsid w:val="006C2D65"/>
    <w:rsid w:val="006C3BBF"/>
    <w:rsid w:val="006C4222"/>
    <w:rsid w:val="006C5DCE"/>
    <w:rsid w:val="006C6D0C"/>
    <w:rsid w:val="006C7577"/>
    <w:rsid w:val="006D09F5"/>
    <w:rsid w:val="006D0DC7"/>
    <w:rsid w:val="006D1335"/>
    <w:rsid w:val="006D2C7A"/>
    <w:rsid w:val="006D3738"/>
    <w:rsid w:val="006D55D6"/>
    <w:rsid w:val="006D5760"/>
    <w:rsid w:val="006D7694"/>
    <w:rsid w:val="006D7961"/>
    <w:rsid w:val="006D7AC3"/>
    <w:rsid w:val="006E0B8E"/>
    <w:rsid w:val="006E1225"/>
    <w:rsid w:val="006E21B4"/>
    <w:rsid w:val="006E285C"/>
    <w:rsid w:val="006E33D3"/>
    <w:rsid w:val="006E3598"/>
    <w:rsid w:val="006E3F9A"/>
    <w:rsid w:val="006E4060"/>
    <w:rsid w:val="006E4216"/>
    <w:rsid w:val="006E4C7C"/>
    <w:rsid w:val="006E4EB1"/>
    <w:rsid w:val="006E5704"/>
    <w:rsid w:val="006E5DB0"/>
    <w:rsid w:val="006E6195"/>
    <w:rsid w:val="006E73EF"/>
    <w:rsid w:val="006E790C"/>
    <w:rsid w:val="006E7A0C"/>
    <w:rsid w:val="006F0091"/>
    <w:rsid w:val="006F1CBE"/>
    <w:rsid w:val="006F234A"/>
    <w:rsid w:val="006F24B0"/>
    <w:rsid w:val="006F2B47"/>
    <w:rsid w:val="006F36B6"/>
    <w:rsid w:val="006F3B32"/>
    <w:rsid w:val="006F44EE"/>
    <w:rsid w:val="006F49B4"/>
    <w:rsid w:val="006F7766"/>
    <w:rsid w:val="007013EC"/>
    <w:rsid w:val="00701A2F"/>
    <w:rsid w:val="00701C47"/>
    <w:rsid w:val="00701EF0"/>
    <w:rsid w:val="007024BF"/>
    <w:rsid w:val="007028CD"/>
    <w:rsid w:val="00702D9C"/>
    <w:rsid w:val="0070333A"/>
    <w:rsid w:val="00703B63"/>
    <w:rsid w:val="007050C5"/>
    <w:rsid w:val="007067F8"/>
    <w:rsid w:val="00707537"/>
    <w:rsid w:val="00707E90"/>
    <w:rsid w:val="00712EBE"/>
    <w:rsid w:val="007131D7"/>
    <w:rsid w:val="00714313"/>
    <w:rsid w:val="0071649C"/>
    <w:rsid w:val="007165BB"/>
    <w:rsid w:val="007169EB"/>
    <w:rsid w:val="00716A4D"/>
    <w:rsid w:val="00717DAC"/>
    <w:rsid w:val="0072052C"/>
    <w:rsid w:val="00720BC7"/>
    <w:rsid w:val="00721BC3"/>
    <w:rsid w:val="00721F1A"/>
    <w:rsid w:val="007226B2"/>
    <w:rsid w:val="00722928"/>
    <w:rsid w:val="00722D69"/>
    <w:rsid w:val="007231A0"/>
    <w:rsid w:val="00724435"/>
    <w:rsid w:val="00725D93"/>
    <w:rsid w:val="00726354"/>
    <w:rsid w:val="007276CC"/>
    <w:rsid w:val="00727770"/>
    <w:rsid w:val="00727A4C"/>
    <w:rsid w:val="00727A9E"/>
    <w:rsid w:val="007315D3"/>
    <w:rsid w:val="00731882"/>
    <w:rsid w:val="00731CEC"/>
    <w:rsid w:val="007352A2"/>
    <w:rsid w:val="00735A29"/>
    <w:rsid w:val="00735B6F"/>
    <w:rsid w:val="00735CAB"/>
    <w:rsid w:val="00736A7A"/>
    <w:rsid w:val="0073783F"/>
    <w:rsid w:val="007419D4"/>
    <w:rsid w:val="00742D4C"/>
    <w:rsid w:val="00743252"/>
    <w:rsid w:val="00743441"/>
    <w:rsid w:val="00743DC0"/>
    <w:rsid w:val="00744492"/>
    <w:rsid w:val="00744896"/>
    <w:rsid w:val="007458DF"/>
    <w:rsid w:val="00745DC6"/>
    <w:rsid w:val="00746D40"/>
    <w:rsid w:val="0074729A"/>
    <w:rsid w:val="0074741E"/>
    <w:rsid w:val="00747ABA"/>
    <w:rsid w:val="007503C5"/>
    <w:rsid w:val="0075074D"/>
    <w:rsid w:val="007518D6"/>
    <w:rsid w:val="00752A4D"/>
    <w:rsid w:val="00752F6C"/>
    <w:rsid w:val="00753F23"/>
    <w:rsid w:val="00754B11"/>
    <w:rsid w:val="00754E77"/>
    <w:rsid w:val="00755585"/>
    <w:rsid w:val="007575BF"/>
    <w:rsid w:val="0075783C"/>
    <w:rsid w:val="00760148"/>
    <w:rsid w:val="007607C0"/>
    <w:rsid w:val="0076218A"/>
    <w:rsid w:val="00763089"/>
    <w:rsid w:val="00763172"/>
    <w:rsid w:val="007634B3"/>
    <w:rsid w:val="007639BF"/>
    <w:rsid w:val="00764794"/>
    <w:rsid w:val="00765645"/>
    <w:rsid w:val="007657B5"/>
    <w:rsid w:val="00766CD9"/>
    <w:rsid w:val="00766D71"/>
    <w:rsid w:val="00766E25"/>
    <w:rsid w:val="0076761E"/>
    <w:rsid w:val="00767BF6"/>
    <w:rsid w:val="00770576"/>
    <w:rsid w:val="007715D0"/>
    <w:rsid w:val="00771869"/>
    <w:rsid w:val="0077204A"/>
    <w:rsid w:val="0077240B"/>
    <w:rsid w:val="00772938"/>
    <w:rsid w:val="00772A1B"/>
    <w:rsid w:val="0077446C"/>
    <w:rsid w:val="00774DE3"/>
    <w:rsid w:val="00775B35"/>
    <w:rsid w:val="00775D70"/>
    <w:rsid w:val="00775E30"/>
    <w:rsid w:val="00775E3E"/>
    <w:rsid w:val="007771B9"/>
    <w:rsid w:val="00777F5F"/>
    <w:rsid w:val="007806EC"/>
    <w:rsid w:val="00780C42"/>
    <w:rsid w:val="007829A3"/>
    <w:rsid w:val="00782DDC"/>
    <w:rsid w:val="007836A0"/>
    <w:rsid w:val="0078399A"/>
    <w:rsid w:val="00783DF7"/>
    <w:rsid w:val="00783E08"/>
    <w:rsid w:val="007842E7"/>
    <w:rsid w:val="00784C77"/>
    <w:rsid w:val="007875F2"/>
    <w:rsid w:val="0079001F"/>
    <w:rsid w:val="00790DEF"/>
    <w:rsid w:val="0079183F"/>
    <w:rsid w:val="00791AEE"/>
    <w:rsid w:val="00791E2F"/>
    <w:rsid w:val="007927A2"/>
    <w:rsid w:val="007928F1"/>
    <w:rsid w:val="00792C93"/>
    <w:rsid w:val="00793C5C"/>
    <w:rsid w:val="00793EC8"/>
    <w:rsid w:val="0079437F"/>
    <w:rsid w:val="00794D26"/>
    <w:rsid w:val="0079572E"/>
    <w:rsid w:val="0079576A"/>
    <w:rsid w:val="00796BC9"/>
    <w:rsid w:val="007A1034"/>
    <w:rsid w:val="007A133B"/>
    <w:rsid w:val="007A1589"/>
    <w:rsid w:val="007A1DA3"/>
    <w:rsid w:val="007A1FBC"/>
    <w:rsid w:val="007A381C"/>
    <w:rsid w:val="007B0618"/>
    <w:rsid w:val="007B1707"/>
    <w:rsid w:val="007B24C2"/>
    <w:rsid w:val="007B258C"/>
    <w:rsid w:val="007B29DB"/>
    <w:rsid w:val="007B3D1F"/>
    <w:rsid w:val="007B3D49"/>
    <w:rsid w:val="007B3E51"/>
    <w:rsid w:val="007B4CC9"/>
    <w:rsid w:val="007B5EE6"/>
    <w:rsid w:val="007B60AF"/>
    <w:rsid w:val="007B68F5"/>
    <w:rsid w:val="007B6A22"/>
    <w:rsid w:val="007B78E5"/>
    <w:rsid w:val="007B797B"/>
    <w:rsid w:val="007C06DB"/>
    <w:rsid w:val="007C0D20"/>
    <w:rsid w:val="007C1861"/>
    <w:rsid w:val="007C279A"/>
    <w:rsid w:val="007C3152"/>
    <w:rsid w:val="007C3240"/>
    <w:rsid w:val="007C3428"/>
    <w:rsid w:val="007C3B94"/>
    <w:rsid w:val="007C438F"/>
    <w:rsid w:val="007C460F"/>
    <w:rsid w:val="007C495E"/>
    <w:rsid w:val="007C592C"/>
    <w:rsid w:val="007C5B4F"/>
    <w:rsid w:val="007C6CA6"/>
    <w:rsid w:val="007C6F8D"/>
    <w:rsid w:val="007D09C4"/>
    <w:rsid w:val="007D12B6"/>
    <w:rsid w:val="007D17F1"/>
    <w:rsid w:val="007D42CF"/>
    <w:rsid w:val="007D4E14"/>
    <w:rsid w:val="007D4EBE"/>
    <w:rsid w:val="007D4FC7"/>
    <w:rsid w:val="007D53EF"/>
    <w:rsid w:val="007D72C0"/>
    <w:rsid w:val="007D7BD4"/>
    <w:rsid w:val="007E15CC"/>
    <w:rsid w:val="007E2343"/>
    <w:rsid w:val="007E25E0"/>
    <w:rsid w:val="007E267C"/>
    <w:rsid w:val="007E2E8C"/>
    <w:rsid w:val="007E3478"/>
    <w:rsid w:val="007E3A43"/>
    <w:rsid w:val="007E44B0"/>
    <w:rsid w:val="007E4DCA"/>
    <w:rsid w:val="007E55EF"/>
    <w:rsid w:val="007E5CF9"/>
    <w:rsid w:val="007E7025"/>
    <w:rsid w:val="007E70FF"/>
    <w:rsid w:val="007F38E8"/>
    <w:rsid w:val="007F458F"/>
    <w:rsid w:val="007F4DB3"/>
    <w:rsid w:val="007F4F68"/>
    <w:rsid w:val="007F50E7"/>
    <w:rsid w:val="007F5216"/>
    <w:rsid w:val="007F5E14"/>
    <w:rsid w:val="007F6A0E"/>
    <w:rsid w:val="007F721D"/>
    <w:rsid w:val="008009D5"/>
    <w:rsid w:val="00801423"/>
    <w:rsid w:val="00801AF9"/>
    <w:rsid w:val="008020F6"/>
    <w:rsid w:val="00803717"/>
    <w:rsid w:val="00803F7B"/>
    <w:rsid w:val="0080421D"/>
    <w:rsid w:val="008059A1"/>
    <w:rsid w:val="00806423"/>
    <w:rsid w:val="00806A60"/>
    <w:rsid w:val="00810892"/>
    <w:rsid w:val="00810AA0"/>
    <w:rsid w:val="00810DF6"/>
    <w:rsid w:val="00810F9C"/>
    <w:rsid w:val="00815AAC"/>
    <w:rsid w:val="00815B64"/>
    <w:rsid w:val="00816128"/>
    <w:rsid w:val="008166AB"/>
    <w:rsid w:val="00816D1E"/>
    <w:rsid w:val="00817061"/>
    <w:rsid w:val="008171B5"/>
    <w:rsid w:val="00817278"/>
    <w:rsid w:val="00821042"/>
    <w:rsid w:val="008220D8"/>
    <w:rsid w:val="00822158"/>
    <w:rsid w:val="0082255A"/>
    <w:rsid w:val="008238E4"/>
    <w:rsid w:val="00823D2C"/>
    <w:rsid w:val="00824524"/>
    <w:rsid w:val="00825603"/>
    <w:rsid w:val="00825989"/>
    <w:rsid w:val="00825D2E"/>
    <w:rsid w:val="0082696C"/>
    <w:rsid w:val="00826B7A"/>
    <w:rsid w:val="00827780"/>
    <w:rsid w:val="00827A80"/>
    <w:rsid w:val="0083044D"/>
    <w:rsid w:val="0083075C"/>
    <w:rsid w:val="00830ED9"/>
    <w:rsid w:val="008318D7"/>
    <w:rsid w:val="00831B8D"/>
    <w:rsid w:val="00831E82"/>
    <w:rsid w:val="008326F3"/>
    <w:rsid w:val="00832A2B"/>
    <w:rsid w:val="00835F1F"/>
    <w:rsid w:val="0083690B"/>
    <w:rsid w:val="00836D47"/>
    <w:rsid w:val="008405FD"/>
    <w:rsid w:val="00840AE4"/>
    <w:rsid w:val="00841679"/>
    <w:rsid w:val="00842E46"/>
    <w:rsid w:val="00843AE0"/>
    <w:rsid w:val="00843F99"/>
    <w:rsid w:val="00845321"/>
    <w:rsid w:val="00845D9B"/>
    <w:rsid w:val="00846C49"/>
    <w:rsid w:val="00846E53"/>
    <w:rsid w:val="00847484"/>
    <w:rsid w:val="008478D4"/>
    <w:rsid w:val="00847AF9"/>
    <w:rsid w:val="00847CCC"/>
    <w:rsid w:val="00850237"/>
    <w:rsid w:val="008508E2"/>
    <w:rsid w:val="00850E08"/>
    <w:rsid w:val="008518F8"/>
    <w:rsid w:val="008519B3"/>
    <w:rsid w:val="00852070"/>
    <w:rsid w:val="00852556"/>
    <w:rsid w:val="00852678"/>
    <w:rsid w:val="00853100"/>
    <w:rsid w:val="008531B2"/>
    <w:rsid w:val="008534D4"/>
    <w:rsid w:val="008537D8"/>
    <w:rsid w:val="00853F0A"/>
    <w:rsid w:val="008549CB"/>
    <w:rsid w:val="008562CF"/>
    <w:rsid w:val="008566A9"/>
    <w:rsid w:val="008567B6"/>
    <w:rsid w:val="00856B28"/>
    <w:rsid w:val="00857236"/>
    <w:rsid w:val="0085742C"/>
    <w:rsid w:val="00857659"/>
    <w:rsid w:val="00857B9A"/>
    <w:rsid w:val="00860381"/>
    <w:rsid w:val="00860425"/>
    <w:rsid w:val="00860618"/>
    <w:rsid w:val="0086185C"/>
    <w:rsid w:val="00862A2C"/>
    <w:rsid w:val="00863B35"/>
    <w:rsid w:val="0086476F"/>
    <w:rsid w:val="008649BE"/>
    <w:rsid w:val="00864CE2"/>
    <w:rsid w:val="00865423"/>
    <w:rsid w:val="008666EB"/>
    <w:rsid w:val="00866D47"/>
    <w:rsid w:val="00866F14"/>
    <w:rsid w:val="00867341"/>
    <w:rsid w:val="0087002D"/>
    <w:rsid w:val="008701B0"/>
    <w:rsid w:val="0087047E"/>
    <w:rsid w:val="008716D0"/>
    <w:rsid w:val="00871744"/>
    <w:rsid w:val="008725FB"/>
    <w:rsid w:val="00872AA6"/>
    <w:rsid w:val="008731C5"/>
    <w:rsid w:val="00873D8A"/>
    <w:rsid w:val="00873ED3"/>
    <w:rsid w:val="00874387"/>
    <w:rsid w:val="0087485E"/>
    <w:rsid w:val="00874C84"/>
    <w:rsid w:val="00874D06"/>
    <w:rsid w:val="008753D2"/>
    <w:rsid w:val="008758E7"/>
    <w:rsid w:val="008759C0"/>
    <w:rsid w:val="00875B8C"/>
    <w:rsid w:val="00876167"/>
    <w:rsid w:val="008763DE"/>
    <w:rsid w:val="00876844"/>
    <w:rsid w:val="008774CF"/>
    <w:rsid w:val="00877A64"/>
    <w:rsid w:val="00877D4B"/>
    <w:rsid w:val="0088009B"/>
    <w:rsid w:val="008841FD"/>
    <w:rsid w:val="0088423A"/>
    <w:rsid w:val="00884255"/>
    <w:rsid w:val="008844DB"/>
    <w:rsid w:val="0088486E"/>
    <w:rsid w:val="00884969"/>
    <w:rsid w:val="00884DCF"/>
    <w:rsid w:val="0088518C"/>
    <w:rsid w:val="00885303"/>
    <w:rsid w:val="00885309"/>
    <w:rsid w:val="00885705"/>
    <w:rsid w:val="00885D8B"/>
    <w:rsid w:val="008874A0"/>
    <w:rsid w:val="00887F11"/>
    <w:rsid w:val="0089002E"/>
    <w:rsid w:val="00890395"/>
    <w:rsid w:val="008930AF"/>
    <w:rsid w:val="008935B6"/>
    <w:rsid w:val="00893EB5"/>
    <w:rsid w:val="00894181"/>
    <w:rsid w:val="00894590"/>
    <w:rsid w:val="008948D6"/>
    <w:rsid w:val="008949D1"/>
    <w:rsid w:val="00895839"/>
    <w:rsid w:val="00896256"/>
    <w:rsid w:val="00896A19"/>
    <w:rsid w:val="0089710F"/>
    <w:rsid w:val="00897A1F"/>
    <w:rsid w:val="00897FC2"/>
    <w:rsid w:val="008A0107"/>
    <w:rsid w:val="008A0338"/>
    <w:rsid w:val="008A04A3"/>
    <w:rsid w:val="008A05A0"/>
    <w:rsid w:val="008A06C8"/>
    <w:rsid w:val="008A219B"/>
    <w:rsid w:val="008A2259"/>
    <w:rsid w:val="008A2293"/>
    <w:rsid w:val="008A25DB"/>
    <w:rsid w:val="008A2C14"/>
    <w:rsid w:val="008A378E"/>
    <w:rsid w:val="008A3D40"/>
    <w:rsid w:val="008A3D99"/>
    <w:rsid w:val="008A435C"/>
    <w:rsid w:val="008A59D0"/>
    <w:rsid w:val="008A5D88"/>
    <w:rsid w:val="008A60FF"/>
    <w:rsid w:val="008B0501"/>
    <w:rsid w:val="008B133F"/>
    <w:rsid w:val="008B2460"/>
    <w:rsid w:val="008B261B"/>
    <w:rsid w:val="008B26CC"/>
    <w:rsid w:val="008B2E3F"/>
    <w:rsid w:val="008B350B"/>
    <w:rsid w:val="008B426A"/>
    <w:rsid w:val="008B5025"/>
    <w:rsid w:val="008B5B6E"/>
    <w:rsid w:val="008B5CBE"/>
    <w:rsid w:val="008B5F2E"/>
    <w:rsid w:val="008B6246"/>
    <w:rsid w:val="008C0E2E"/>
    <w:rsid w:val="008C111D"/>
    <w:rsid w:val="008C1BD3"/>
    <w:rsid w:val="008C223E"/>
    <w:rsid w:val="008C2C02"/>
    <w:rsid w:val="008C2DF8"/>
    <w:rsid w:val="008C2FF0"/>
    <w:rsid w:val="008C314D"/>
    <w:rsid w:val="008C350A"/>
    <w:rsid w:val="008C3EBA"/>
    <w:rsid w:val="008C4357"/>
    <w:rsid w:val="008C4574"/>
    <w:rsid w:val="008C45CF"/>
    <w:rsid w:val="008C4A8A"/>
    <w:rsid w:val="008C4BB2"/>
    <w:rsid w:val="008C4E82"/>
    <w:rsid w:val="008C4FD7"/>
    <w:rsid w:val="008C66E2"/>
    <w:rsid w:val="008C692E"/>
    <w:rsid w:val="008C6D0A"/>
    <w:rsid w:val="008D01ED"/>
    <w:rsid w:val="008D0202"/>
    <w:rsid w:val="008D0B6E"/>
    <w:rsid w:val="008D1025"/>
    <w:rsid w:val="008D1ADD"/>
    <w:rsid w:val="008D1BEA"/>
    <w:rsid w:val="008D1F86"/>
    <w:rsid w:val="008D2510"/>
    <w:rsid w:val="008D3C2E"/>
    <w:rsid w:val="008D40DE"/>
    <w:rsid w:val="008D4631"/>
    <w:rsid w:val="008D6290"/>
    <w:rsid w:val="008D62E6"/>
    <w:rsid w:val="008D62F3"/>
    <w:rsid w:val="008E0913"/>
    <w:rsid w:val="008E156C"/>
    <w:rsid w:val="008E26C3"/>
    <w:rsid w:val="008E2BAB"/>
    <w:rsid w:val="008E39BC"/>
    <w:rsid w:val="008E3C3D"/>
    <w:rsid w:val="008E45F6"/>
    <w:rsid w:val="008E537A"/>
    <w:rsid w:val="008E53BC"/>
    <w:rsid w:val="008E5881"/>
    <w:rsid w:val="008E5C88"/>
    <w:rsid w:val="008E5CF8"/>
    <w:rsid w:val="008E613E"/>
    <w:rsid w:val="008E6470"/>
    <w:rsid w:val="008E6CD5"/>
    <w:rsid w:val="008E7775"/>
    <w:rsid w:val="008E795B"/>
    <w:rsid w:val="008F058F"/>
    <w:rsid w:val="008F1508"/>
    <w:rsid w:val="008F36E5"/>
    <w:rsid w:val="008F3CB5"/>
    <w:rsid w:val="008F3EE3"/>
    <w:rsid w:val="008F4182"/>
    <w:rsid w:val="008F4371"/>
    <w:rsid w:val="008F5258"/>
    <w:rsid w:val="008F5C56"/>
    <w:rsid w:val="008F61E7"/>
    <w:rsid w:val="008F6B1E"/>
    <w:rsid w:val="008F6B35"/>
    <w:rsid w:val="008F6B64"/>
    <w:rsid w:val="00901DE7"/>
    <w:rsid w:val="00902197"/>
    <w:rsid w:val="00904590"/>
    <w:rsid w:val="0090558E"/>
    <w:rsid w:val="009056F0"/>
    <w:rsid w:val="00906825"/>
    <w:rsid w:val="00906CA0"/>
    <w:rsid w:val="009076A4"/>
    <w:rsid w:val="00910D3D"/>
    <w:rsid w:val="009111A2"/>
    <w:rsid w:val="0091194F"/>
    <w:rsid w:val="00911CBE"/>
    <w:rsid w:val="00912326"/>
    <w:rsid w:val="009126BC"/>
    <w:rsid w:val="009139CF"/>
    <w:rsid w:val="00913EE5"/>
    <w:rsid w:val="00914415"/>
    <w:rsid w:val="009149AB"/>
    <w:rsid w:val="0091501C"/>
    <w:rsid w:val="009158AA"/>
    <w:rsid w:val="00915E23"/>
    <w:rsid w:val="00916404"/>
    <w:rsid w:val="009174F7"/>
    <w:rsid w:val="00917E75"/>
    <w:rsid w:val="0092024A"/>
    <w:rsid w:val="00920AAA"/>
    <w:rsid w:val="00921381"/>
    <w:rsid w:val="00921689"/>
    <w:rsid w:val="009217C6"/>
    <w:rsid w:val="00922280"/>
    <w:rsid w:val="00922888"/>
    <w:rsid w:val="009234EA"/>
    <w:rsid w:val="0092363B"/>
    <w:rsid w:val="00924482"/>
    <w:rsid w:val="00924E22"/>
    <w:rsid w:val="009250C8"/>
    <w:rsid w:val="0092567C"/>
    <w:rsid w:val="00926C5C"/>
    <w:rsid w:val="00930D7E"/>
    <w:rsid w:val="00931120"/>
    <w:rsid w:val="00931EB7"/>
    <w:rsid w:val="00932BE9"/>
    <w:rsid w:val="00932D32"/>
    <w:rsid w:val="009331D1"/>
    <w:rsid w:val="009332C9"/>
    <w:rsid w:val="0093398A"/>
    <w:rsid w:val="00933FC7"/>
    <w:rsid w:val="0093427E"/>
    <w:rsid w:val="00934782"/>
    <w:rsid w:val="00934881"/>
    <w:rsid w:val="00934B64"/>
    <w:rsid w:val="00934CB0"/>
    <w:rsid w:val="0093624A"/>
    <w:rsid w:val="00936360"/>
    <w:rsid w:val="00936387"/>
    <w:rsid w:val="00936C46"/>
    <w:rsid w:val="0093789A"/>
    <w:rsid w:val="00940DB9"/>
    <w:rsid w:val="0094124F"/>
    <w:rsid w:val="0094204D"/>
    <w:rsid w:val="0094218C"/>
    <w:rsid w:val="00942490"/>
    <w:rsid w:val="0094359C"/>
    <w:rsid w:val="00943665"/>
    <w:rsid w:val="0094368E"/>
    <w:rsid w:val="009440E6"/>
    <w:rsid w:val="0094440D"/>
    <w:rsid w:val="00945295"/>
    <w:rsid w:val="00945C34"/>
    <w:rsid w:val="00946C09"/>
    <w:rsid w:val="00947502"/>
    <w:rsid w:val="00950266"/>
    <w:rsid w:val="009505E4"/>
    <w:rsid w:val="00951379"/>
    <w:rsid w:val="00951962"/>
    <w:rsid w:val="00951E1D"/>
    <w:rsid w:val="00952039"/>
    <w:rsid w:val="009521E0"/>
    <w:rsid w:val="009522BD"/>
    <w:rsid w:val="00952371"/>
    <w:rsid w:val="00953123"/>
    <w:rsid w:val="0095444A"/>
    <w:rsid w:val="0095486F"/>
    <w:rsid w:val="00954B6A"/>
    <w:rsid w:val="009557BA"/>
    <w:rsid w:val="0095762C"/>
    <w:rsid w:val="00957CE2"/>
    <w:rsid w:val="00960451"/>
    <w:rsid w:val="00960CFC"/>
    <w:rsid w:val="00961725"/>
    <w:rsid w:val="00962E6A"/>
    <w:rsid w:val="009631DC"/>
    <w:rsid w:val="00963446"/>
    <w:rsid w:val="00963BC0"/>
    <w:rsid w:val="00964135"/>
    <w:rsid w:val="0096462E"/>
    <w:rsid w:val="0096585C"/>
    <w:rsid w:val="00966002"/>
    <w:rsid w:val="0096649D"/>
    <w:rsid w:val="009665E4"/>
    <w:rsid w:val="00966E25"/>
    <w:rsid w:val="00966F9F"/>
    <w:rsid w:val="00967C62"/>
    <w:rsid w:val="00970B92"/>
    <w:rsid w:val="00973035"/>
    <w:rsid w:val="0097433E"/>
    <w:rsid w:val="009752C8"/>
    <w:rsid w:val="0097644B"/>
    <w:rsid w:val="00976AD9"/>
    <w:rsid w:val="00977146"/>
    <w:rsid w:val="009776DD"/>
    <w:rsid w:val="009779CF"/>
    <w:rsid w:val="00980A12"/>
    <w:rsid w:val="0098125F"/>
    <w:rsid w:val="0098187E"/>
    <w:rsid w:val="009839E5"/>
    <w:rsid w:val="00984051"/>
    <w:rsid w:val="009845B7"/>
    <w:rsid w:val="00984B34"/>
    <w:rsid w:val="009867C6"/>
    <w:rsid w:val="00986A00"/>
    <w:rsid w:val="00986ADB"/>
    <w:rsid w:val="00986BC6"/>
    <w:rsid w:val="00986C04"/>
    <w:rsid w:val="009873E8"/>
    <w:rsid w:val="0098744B"/>
    <w:rsid w:val="009878BF"/>
    <w:rsid w:val="0099032D"/>
    <w:rsid w:val="00990732"/>
    <w:rsid w:val="00990954"/>
    <w:rsid w:val="00990AE9"/>
    <w:rsid w:val="0099204A"/>
    <w:rsid w:val="00992352"/>
    <w:rsid w:val="009952D3"/>
    <w:rsid w:val="0099573D"/>
    <w:rsid w:val="009A0071"/>
    <w:rsid w:val="009A009B"/>
    <w:rsid w:val="009A01B1"/>
    <w:rsid w:val="009A1CA6"/>
    <w:rsid w:val="009A22C5"/>
    <w:rsid w:val="009A316B"/>
    <w:rsid w:val="009A3E1F"/>
    <w:rsid w:val="009A4072"/>
    <w:rsid w:val="009A63D5"/>
    <w:rsid w:val="009A6E00"/>
    <w:rsid w:val="009A746D"/>
    <w:rsid w:val="009B0F85"/>
    <w:rsid w:val="009B14FF"/>
    <w:rsid w:val="009B4493"/>
    <w:rsid w:val="009B60D0"/>
    <w:rsid w:val="009B60DE"/>
    <w:rsid w:val="009B7A82"/>
    <w:rsid w:val="009C0638"/>
    <w:rsid w:val="009C0A00"/>
    <w:rsid w:val="009C0A9F"/>
    <w:rsid w:val="009C12F7"/>
    <w:rsid w:val="009C14BD"/>
    <w:rsid w:val="009C1590"/>
    <w:rsid w:val="009C2228"/>
    <w:rsid w:val="009C3D16"/>
    <w:rsid w:val="009C3D94"/>
    <w:rsid w:val="009C50ED"/>
    <w:rsid w:val="009C5FA5"/>
    <w:rsid w:val="009C748D"/>
    <w:rsid w:val="009C7C37"/>
    <w:rsid w:val="009C7C65"/>
    <w:rsid w:val="009D0662"/>
    <w:rsid w:val="009D11EF"/>
    <w:rsid w:val="009D1E30"/>
    <w:rsid w:val="009D1FDE"/>
    <w:rsid w:val="009D3196"/>
    <w:rsid w:val="009D5270"/>
    <w:rsid w:val="009D67A2"/>
    <w:rsid w:val="009D6B56"/>
    <w:rsid w:val="009D713E"/>
    <w:rsid w:val="009D7581"/>
    <w:rsid w:val="009E0421"/>
    <w:rsid w:val="009E1184"/>
    <w:rsid w:val="009E13D6"/>
    <w:rsid w:val="009E16C4"/>
    <w:rsid w:val="009E1998"/>
    <w:rsid w:val="009E1AE2"/>
    <w:rsid w:val="009E283E"/>
    <w:rsid w:val="009E3014"/>
    <w:rsid w:val="009E4091"/>
    <w:rsid w:val="009E40BE"/>
    <w:rsid w:val="009E4159"/>
    <w:rsid w:val="009E4904"/>
    <w:rsid w:val="009E5103"/>
    <w:rsid w:val="009E5545"/>
    <w:rsid w:val="009E5744"/>
    <w:rsid w:val="009E6329"/>
    <w:rsid w:val="009E6356"/>
    <w:rsid w:val="009E6429"/>
    <w:rsid w:val="009E65E3"/>
    <w:rsid w:val="009E7270"/>
    <w:rsid w:val="009F2141"/>
    <w:rsid w:val="009F2DE2"/>
    <w:rsid w:val="009F3CC5"/>
    <w:rsid w:val="009F3CF1"/>
    <w:rsid w:val="009F497C"/>
    <w:rsid w:val="009F4BB4"/>
    <w:rsid w:val="009F7145"/>
    <w:rsid w:val="009F76A9"/>
    <w:rsid w:val="009F7C0D"/>
    <w:rsid w:val="009F7F4B"/>
    <w:rsid w:val="00A00BEE"/>
    <w:rsid w:val="00A00C49"/>
    <w:rsid w:val="00A010CD"/>
    <w:rsid w:val="00A01188"/>
    <w:rsid w:val="00A016D9"/>
    <w:rsid w:val="00A01A71"/>
    <w:rsid w:val="00A01BF6"/>
    <w:rsid w:val="00A03502"/>
    <w:rsid w:val="00A04508"/>
    <w:rsid w:val="00A04A9A"/>
    <w:rsid w:val="00A04CFA"/>
    <w:rsid w:val="00A05005"/>
    <w:rsid w:val="00A0654D"/>
    <w:rsid w:val="00A074F0"/>
    <w:rsid w:val="00A10530"/>
    <w:rsid w:val="00A10B43"/>
    <w:rsid w:val="00A11069"/>
    <w:rsid w:val="00A125CB"/>
    <w:rsid w:val="00A1266A"/>
    <w:rsid w:val="00A127B0"/>
    <w:rsid w:val="00A16260"/>
    <w:rsid w:val="00A174D6"/>
    <w:rsid w:val="00A20524"/>
    <w:rsid w:val="00A21AC3"/>
    <w:rsid w:val="00A220A6"/>
    <w:rsid w:val="00A22296"/>
    <w:rsid w:val="00A224FB"/>
    <w:rsid w:val="00A227D4"/>
    <w:rsid w:val="00A23476"/>
    <w:rsid w:val="00A242F7"/>
    <w:rsid w:val="00A25C22"/>
    <w:rsid w:val="00A26803"/>
    <w:rsid w:val="00A2699C"/>
    <w:rsid w:val="00A31711"/>
    <w:rsid w:val="00A31E00"/>
    <w:rsid w:val="00A33969"/>
    <w:rsid w:val="00A33C70"/>
    <w:rsid w:val="00A33E8A"/>
    <w:rsid w:val="00A3478A"/>
    <w:rsid w:val="00A350D9"/>
    <w:rsid w:val="00A36050"/>
    <w:rsid w:val="00A36A36"/>
    <w:rsid w:val="00A372A2"/>
    <w:rsid w:val="00A37729"/>
    <w:rsid w:val="00A40A22"/>
    <w:rsid w:val="00A41347"/>
    <w:rsid w:val="00A4272B"/>
    <w:rsid w:val="00A42D66"/>
    <w:rsid w:val="00A437A7"/>
    <w:rsid w:val="00A44D88"/>
    <w:rsid w:val="00A44EC5"/>
    <w:rsid w:val="00A4553F"/>
    <w:rsid w:val="00A45CCA"/>
    <w:rsid w:val="00A4642D"/>
    <w:rsid w:val="00A474E3"/>
    <w:rsid w:val="00A50C6D"/>
    <w:rsid w:val="00A51644"/>
    <w:rsid w:val="00A51B31"/>
    <w:rsid w:val="00A51CBD"/>
    <w:rsid w:val="00A51F0A"/>
    <w:rsid w:val="00A5269C"/>
    <w:rsid w:val="00A535BA"/>
    <w:rsid w:val="00A539E0"/>
    <w:rsid w:val="00A54769"/>
    <w:rsid w:val="00A56434"/>
    <w:rsid w:val="00A5650A"/>
    <w:rsid w:val="00A56723"/>
    <w:rsid w:val="00A56D35"/>
    <w:rsid w:val="00A6056C"/>
    <w:rsid w:val="00A60BA1"/>
    <w:rsid w:val="00A60C45"/>
    <w:rsid w:val="00A611EC"/>
    <w:rsid w:val="00A614C7"/>
    <w:rsid w:val="00A61934"/>
    <w:rsid w:val="00A62B73"/>
    <w:rsid w:val="00A63A34"/>
    <w:rsid w:val="00A6444C"/>
    <w:rsid w:val="00A664A7"/>
    <w:rsid w:val="00A66BDA"/>
    <w:rsid w:val="00A66CC2"/>
    <w:rsid w:val="00A66EC5"/>
    <w:rsid w:val="00A709C1"/>
    <w:rsid w:val="00A71F2E"/>
    <w:rsid w:val="00A72396"/>
    <w:rsid w:val="00A724BB"/>
    <w:rsid w:val="00A73135"/>
    <w:rsid w:val="00A7597D"/>
    <w:rsid w:val="00A771BB"/>
    <w:rsid w:val="00A80DDE"/>
    <w:rsid w:val="00A811D7"/>
    <w:rsid w:val="00A81997"/>
    <w:rsid w:val="00A828F5"/>
    <w:rsid w:val="00A831E6"/>
    <w:rsid w:val="00A83BF6"/>
    <w:rsid w:val="00A84919"/>
    <w:rsid w:val="00A85340"/>
    <w:rsid w:val="00A862AA"/>
    <w:rsid w:val="00A863DA"/>
    <w:rsid w:val="00A87D1A"/>
    <w:rsid w:val="00A87D44"/>
    <w:rsid w:val="00A90524"/>
    <w:rsid w:val="00A90583"/>
    <w:rsid w:val="00A90EA6"/>
    <w:rsid w:val="00A918C4"/>
    <w:rsid w:val="00A91A73"/>
    <w:rsid w:val="00A91DDC"/>
    <w:rsid w:val="00A92C8B"/>
    <w:rsid w:val="00A9340B"/>
    <w:rsid w:val="00A93DA6"/>
    <w:rsid w:val="00A941CA"/>
    <w:rsid w:val="00A94A4F"/>
    <w:rsid w:val="00A94FAD"/>
    <w:rsid w:val="00A9578C"/>
    <w:rsid w:val="00A97152"/>
    <w:rsid w:val="00A97806"/>
    <w:rsid w:val="00A97C4B"/>
    <w:rsid w:val="00AA08ED"/>
    <w:rsid w:val="00AA09BC"/>
    <w:rsid w:val="00AA22C7"/>
    <w:rsid w:val="00AA28A9"/>
    <w:rsid w:val="00AA3137"/>
    <w:rsid w:val="00AA75C7"/>
    <w:rsid w:val="00AB07D4"/>
    <w:rsid w:val="00AB23A9"/>
    <w:rsid w:val="00AB243F"/>
    <w:rsid w:val="00AB26E8"/>
    <w:rsid w:val="00AB2BD1"/>
    <w:rsid w:val="00AB2E98"/>
    <w:rsid w:val="00AB52EE"/>
    <w:rsid w:val="00AB549B"/>
    <w:rsid w:val="00AB5CF1"/>
    <w:rsid w:val="00AB6C13"/>
    <w:rsid w:val="00AB74AD"/>
    <w:rsid w:val="00AB7CBA"/>
    <w:rsid w:val="00AB7D8F"/>
    <w:rsid w:val="00AB7E76"/>
    <w:rsid w:val="00AC0B7E"/>
    <w:rsid w:val="00AC1113"/>
    <w:rsid w:val="00AC1126"/>
    <w:rsid w:val="00AC2722"/>
    <w:rsid w:val="00AC33AB"/>
    <w:rsid w:val="00AC37EF"/>
    <w:rsid w:val="00AC3E81"/>
    <w:rsid w:val="00AC417A"/>
    <w:rsid w:val="00AC4947"/>
    <w:rsid w:val="00AC4DC9"/>
    <w:rsid w:val="00AC57F7"/>
    <w:rsid w:val="00AC62E2"/>
    <w:rsid w:val="00AC6675"/>
    <w:rsid w:val="00AC766B"/>
    <w:rsid w:val="00AD04F5"/>
    <w:rsid w:val="00AD0BFF"/>
    <w:rsid w:val="00AD0D72"/>
    <w:rsid w:val="00AD190A"/>
    <w:rsid w:val="00AD209B"/>
    <w:rsid w:val="00AD21B5"/>
    <w:rsid w:val="00AD345C"/>
    <w:rsid w:val="00AD3CAA"/>
    <w:rsid w:val="00AD3E31"/>
    <w:rsid w:val="00AD42DD"/>
    <w:rsid w:val="00AD463F"/>
    <w:rsid w:val="00AD48DD"/>
    <w:rsid w:val="00AD549C"/>
    <w:rsid w:val="00AD5D46"/>
    <w:rsid w:val="00AD5F18"/>
    <w:rsid w:val="00AD74DF"/>
    <w:rsid w:val="00AD7C0E"/>
    <w:rsid w:val="00AD7C9B"/>
    <w:rsid w:val="00AD7D82"/>
    <w:rsid w:val="00AE14CF"/>
    <w:rsid w:val="00AE2E47"/>
    <w:rsid w:val="00AE328A"/>
    <w:rsid w:val="00AE4B93"/>
    <w:rsid w:val="00AE4FAC"/>
    <w:rsid w:val="00AE6CAF"/>
    <w:rsid w:val="00AE6DD3"/>
    <w:rsid w:val="00AE7896"/>
    <w:rsid w:val="00AF04CA"/>
    <w:rsid w:val="00AF08B7"/>
    <w:rsid w:val="00AF169E"/>
    <w:rsid w:val="00AF224F"/>
    <w:rsid w:val="00AF2D2F"/>
    <w:rsid w:val="00AF3AF2"/>
    <w:rsid w:val="00AF42DB"/>
    <w:rsid w:val="00AF4946"/>
    <w:rsid w:val="00AF5EE5"/>
    <w:rsid w:val="00AF6C37"/>
    <w:rsid w:val="00AF7BBA"/>
    <w:rsid w:val="00B0062C"/>
    <w:rsid w:val="00B00937"/>
    <w:rsid w:val="00B00FAF"/>
    <w:rsid w:val="00B01053"/>
    <w:rsid w:val="00B01110"/>
    <w:rsid w:val="00B01813"/>
    <w:rsid w:val="00B02791"/>
    <w:rsid w:val="00B0452F"/>
    <w:rsid w:val="00B04782"/>
    <w:rsid w:val="00B04C1D"/>
    <w:rsid w:val="00B05A5A"/>
    <w:rsid w:val="00B05E0C"/>
    <w:rsid w:val="00B069C0"/>
    <w:rsid w:val="00B06F27"/>
    <w:rsid w:val="00B072F0"/>
    <w:rsid w:val="00B0774C"/>
    <w:rsid w:val="00B10157"/>
    <w:rsid w:val="00B11A3B"/>
    <w:rsid w:val="00B11B0F"/>
    <w:rsid w:val="00B15B3A"/>
    <w:rsid w:val="00B16ADD"/>
    <w:rsid w:val="00B16F33"/>
    <w:rsid w:val="00B21828"/>
    <w:rsid w:val="00B22ACC"/>
    <w:rsid w:val="00B22F03"/>
    <w:rsid w:val="00B22F96"/>
    <w:rsid w:val="00B2325C"/>
    <w:rsid w:val="00B240D8"/>
    <w:rsid w:val="00B2566F"/>
    <w:rsid w:val="00B25B81"/>
    <w:rsid w:val="00B25C04"/>
    <w:rsid w:val="00B25C89"/>
    <w:rsid w:val="00B260EF"/>
    <w:rsid w:val="00B2641B"/>
    <w:rsid w:val="00B26B66"/>
    <w:rsid w:val="00B270D5"/>
    <w:rsid w:val="00B27569"/>
    <w:rsid w:val="00B30005"/>
    <w:rsid w:val="00B302CC"/>
    <w:rsid w:val="00B3083A"/>
    <w:rsid w:val="00B30F6A"/>
    <w:rsid w:val="00B32654"/>
    <w:rsid w:val="00B32907"/>
    <w:rsid w:val="00B33525"/>
    <w:rsid w:val="00B33C8A"/>
    <w:rsid w:val="00B341EF"/>
    <w:rsid w:val="00B3498A"/>
    <w:rsid w:val="00B3596D"/>
    <w:rsid w:val="00B35EB4"/>
    <w:rsid w:val="00B3666E"/>
    <w:rsid w:val="00B366F6"/>
    <w:rsid w:val="00B40004"/>
    <w:rsid w:val="00B409F8"/>
    <w:rsid w:val="00B41035"/>
    <w:rsid w:val="00B41210"/>
    <w:rsid w:val="00B42286"/>
    <w:rsid w:val="00B42B5C"/>
    <w:rsid w:val="00B4303F"/>
    <w:rsid w:val="00B43A38"/>
    <w:rsid w:val="00B43B29"/>
    <w:rsid w:val="00B43BC2"/>
    <w:rsid w:val="00B4449C"/>
    <w:rsid w:val="00B445D8"/>
    <w:rsid w:val="00B445E9"/>
    <w:rsid w:val="00B45009"/>
    <w:rsid w:val="00B4548B"/>
    <w:rsid w:val="00B454F4"/>
    <w:rsid w:val="00B46685"/>
    <w:rsid w:val="00B46FC8"/>
    <w:rsid w:val="00B47DA8"/>
    <w:rsid w:val="00B50EF6"/>
    <w:rsid w:val="00B513F4"/>
    <w:rsid w:val="00B52C8F"/>
    <w:rsid w:val="00B52DE5"/>
    <w:rsid w:val="00B53498"/>
    <w:rsid w:val="00B54148"/>
    <w:rsid w:val="00B54E5E"/>
    <w:rsid w:val="00B5595F"/>
    <w:rsid w:val="00B56871"/>
    <w:rsid w:val="00B5760C"/>
    <w:rsid w:val="00B608B2"/>
    <w:rsid w:val="00B62C0C"/>
    <w:rsid w:val="00B64615"/>
    <w:rsid w:val="00B6732D"/>
    <w:rsid w:val="00B6772B"/>
    <w:rsid w:val="00B67A2A"/>
    <w:rsid w:val="00B701F9"/>
    <w:rsid w:val="00B70407"/>
    <w:rsid w:val="00B70CC8"/>
    <w:rsid w:val="00B714C3"/>
    <w:rsid w:val="00B71B4F"/>
    <w:rsid w:val="00B72185"/>
    <w:rsid w:val="00B722B3"/>
    <w:rsid w:val="00B724B4"/>
    <w:rsid w:val="00B726CC"/>
    <w:rsid w:val="00B73E29"/>
    <w:rsid w:val="00B75353"/>
    <w:rsid w:val="00B75853"/>
    <w:rsid w:val="00B75DF3"/>
    <w:rsid w:val="00B75F65"/>
    <w:rsid w:val="00B76132"/>
    <w:rsid w:val="00B766A1"/>
    <w:rsid w:val="00B77822"/>
    <w:rsid w:val="00B77FDB"/>
    <w:rsid w:val="00B803FD"/>
    <w:rsid w:val="00B80529"/>
    <w:rsid w:val="00B84099"/>
    <w:rsid w:val="00B844DB"/>
    <w:rsid w:val="00B84736"/>
    <w:rsid w:val="00B85AFB"/>
    <w:rsid w:val="00B8697E"/>
    <w:rsid w:val="00B90189"/>
    <w:rsid w:val="00B902B4"/>
    <w:rsid w:val="00B9096C"/>
    <w:rsid w:val="00B90B1F"/>
    <w:rsid w:val="00B92391"/>
    <w:rsid w:val="00B9294A"/>
    <w:rsid w:val="00B92B30"/>
    <w:rsid w:val="00B93943"/>
    <w:rsid w:val="00B948C2"/>
    <w:rsid w:val="00B94E50"/>
    <w:rsid w:val="00B950AB"/>
    <w:rsid w:val="00B95673"/>
    <w:rsid w:val="00B95C24"/>
    <w:rsid w:val="00B96249"/>
    <w:rsid w:val="00B9699C"/>
    <w:rsid w:val="00B979AE"/>
    <w:rsid w:val="00B97F8B"/>
    <w:rsid w:val="00BA010D"/>
    <w:rsid w:val="00BA0B16"/>
    <w:rsid w:val="00BA0BF3"/>
    <w:rsid w:val="00BA0F48"/>
    <w:rsid w:val="00BA2950"/>
    <w:rsid w:val="00BA30EB"/>
    <w:rsid w:val="00BA34D3"/>
    <w:rsid w:val="00BA4599"/>
    <w:rsid w:val="00BA48CC"/>
    <w:rsid w:val="00BA540C"/>
    <w:rsid w:val="00BA5A7B"/>
    <w:rsid w:val="00BA5FB5"/>
    <w:rsid w:val="00BA70F4"/>
    <w:rsid w:val="00BA7DD3"/>
    <w:rsid w:val="00BB14AE"/>
    <w:rsid w:val="00BB19E2"/>
    <w:rsid w:val="00BB1D59"/>
    <w:rsid w:val="00BB1E0B"/>
    <w:rsid w:val="00BB294A"/>
    <w:rsid w:val="00BB2AE3"/>
    <w:rsid w:val="00BB3678"/>
    <w:rsid w:val="00BB441A"/>
    <w:rsid w:val="00BB4B3C"/>
    <w:rsid w:val="00BB67C3"/>
    <w:rsid w:val="00BB704A"/>
    <w:rsid w:val="00BB71CB"/>
    <w:rsid w:val="00BB76C7"/>
    <w:rsid w:val="00BC0EFF"/>
    <w:rsid w:val="00BC1A4C"/>
    <w:rsid w:val="00BC1D2C"/>
    <w:rsid w:val="00BC2730"/>
    <w:rsid w:val="00BC2870"/>
    <w:rsid w:val="00BC2D99"/>
    <w:rsid w:val="00BC364C"/>
    <w:rsid w:val="00BC36D1"/>
    <w:rsid w:val="00BC553E"/>
    <w:rsid w:val="00BC5CFD"/>
    <w:rsid w:val="00BC5FF5"/>
    <w:rsid w:val="00BC610C"/>
    <w:rsid w:val="00BC6A21"/>
    <w:rsid w:val="00BD0655"/>
    <w:rsid w:val="00BD0787"/>
    <w:rsid w:val="00BD092B"/>
    <w:rsid w:val="00BD0B17"/>
    <w:rsid w:val="00BD0BE1"/>
    <w:rsid w:val="00BD1AC3"/>
    <w:rsid w:val="00BD261E"/>
    <w:rsid w:val="00BD32A2"/>
    <w:rsid w:val="00BD35BB"/>
    <w:rsid w:val="00BD5274"/>
    <w:rsid w:val="00BD5D50"/>
    <w:rsid w:val="00BD6FEF"/>
    <w:rsid w:val="00BD749C"/>
    <w:rsid w:val="00BE04A0"/>
    <w:rsid w:val="00BE0718"/>
    <w:rsid w:val="00BE0B1C"/>
    <w:rsid w:val="00BE1277"/>
    <w:rsid w:val="00BE2DFB"/>
    <w:rsid w:val="00BE3681"/>
    <w:rsid w:val="00BE3DD5"/>
    <w:rsid w:val="00BE4C53"/>
    <w:rsid w:val="00BE53B2"/>
    <w:rsid w:val="00BE6273"/>
    <w:rsid w:val="00BE77DD"/>
    <w:rsid w:val="00BF1006"/>
    <w:rsid w:val="00BF10CA"/>
    <w:rsid w:val="00BF119D"/>
    <w:rsid w:val="00BF12D4"/>
    <w:rsid w:val="00BF1E6B"/>
    <w:rsid w:val="00BF203F"/>
    <w:rsid w:val="00BF20DF"/>
    <w:rsid w:val="00BF2250"/>
    <w:rsid w:val="00BF2B41"/>
    <w:rsid w:val="00BF46F1"/>
    <w:rsid w:val="00BF479B"/>
    <w:rsid w:val="00BF4804"/>
    <w:rsid w:val="00BF52BD"/>
    <w:rsid w:val="00BF52D0"/>
    <w:rsid w:val="00BF5982"/>
    <w:rsid w:val="00BF64B2"/>
    <w:rsid w:val="00BF6F0F"/>
    <w:rsid w:val="00BF706B"/>
    <w:rsid w:val="00BF7E0E"/>
    <w:rsid w:val="00C012EF"/>
    <w:rsid w:val="00C01389"/>
    <w:rsid w:val="00C01EB6"/>
    <w:rsid w:val="00C0258E"/>
    <w:rsid w:val="00C032D3"/>
    <w:rsid w:val="00C05157"/>
    <w:rsid w:val="00C062FE"/>
    <w:rsid w:val="00C0708C"/>
    <w:rsid w:val="00C07492"/>
    <w:rsid w:val="00C0792F"/>
    <w:rsid w:val="00C100AA"/>
    <w:rsid w:val="00C10A35"/>
    <w:rsid w:val="00C10B12"/>
    <w:rsid w:val="00C12AF8"/>
    <w:rsid w:val="00C14392"/>
    <w:rsid w:val="00C143E8"/>
    <w:rsid w:val="00C147ED"/>
    <w:rsid w:val="00C1508E"/>
    <w:rsid w:val="00C15482"/>
    <w:rsid w:val="00C15566"/>
    <w:rsid w:val="00C16FD5"/>
    <w:rsid w:val="00C172AA"/>
    <w:rsid w:val="00C209BA"/>
    <w:rsid w:val="00C21703"/>
    <w:rsid w:val="00C217B7"/>
    <w:rsid w:val="00C21B38"/>
    <w:rsid w:val="00C23490"/>
    <w:rsid w:val="00C23661"/>
    <w:rsid w:val="00C23952"/>
    <w:rsid w:val="00C23D82"/>
    <w:rsid w:val="00C248D2"/>
    <w:rsid w:val="00C25406"/>
    <w:rsid w:val="00C25CFD"/>
    <w:rsid w:val="00C27839"/>
    <w:rsid w:val="00C27F7F"/>
    <w:rsid w:val="00C303C4"/>
    <w:rsid w:val="00C306C2"/>
    <w:rsid w:val="00C31B7A"/>
    <w:rsid w:val="00C32379"/>
    <w:rsid w:val="00C327D6"/>
    <w:rsid w:val="00C32D8C"/>
    <w:rsid w:val="00C33121"/>
    <w:rsid w:val="00C334AF"/>
    <w:rsid w:val="00C339AE"/>
    <w:rsid w:val="00C33B1A"/>
    <w:rsid w:val="00C33E70"/>
    <w:rsid w:val="00C34164"/>
    <w:rsid w:val="00C34442"/>
    <w:rsid w:val="00C34663"/>
    <w:rsid w:val="00C34D30"/>
    <w:rsid w:val="00C34F76"/>
    <w:rsid w:val="00C3582E"/>
    <w:rsid w:val="00C36103"/>
    <w:rsid w:val="00C3654E"/>
    <w:rsid w:val="00C36742"/>
    <w:rsid w:val="00C36857"/>
    <w:rsid w:val="00C36EF4"/>
    <w:rsid w:val="00C36F4B"/>
    <w:rsid w:val="00C37EDA"/>
    <w:rsid w:val="00C40080"/>
    <w:rsid w:val="00C40CEF"/>
    <w:rsid w:val="00C41313"/>
    <w:rsid w:val="00C4170A"/>
    <w:rsid w:val="00C42C35"/>
    <w:rsid w:val="00C433BE"/>
    <w:rsid w:val="00C441AE"/>
    <w:rsid w:val="00C4466B"/>
    <w:rsid w:val="00C44ADE"/>
    <w:rsid w:val="00C455D1"/>
    <w:rsid w:val="00C45653"/>
    <w:rsid w:val="00C45864"/>
    <w:rsid w:val="00C45B6F"/>
    <w:rsid w:val="00C46DF8"/>
    <w:rsid w:val="00C50008"/>
    <w:rsid w:val="00C501FD"/>
    <w:rsid w:val="00C512A3"/>
    <w:rsid w:val="00C51ECF"/>
    <w:rsid w:val="00C538AD"/>
    <w:rsid w:val="00C53A22"/>
    <w:rsid w:val="00C53F16"/>
    <w:rsid w:val="00C54267"/>
    <w:rsid w:val="00C5437B"/>
    <w:rsid w:val="00C54385"/>
    <w:rsid w:val="00C548B3"/>
    <w:rsid w:val="00C555B6"/>
    <w:rsid w:val="00C56D5B"/>
    <w:rsid w:val="00C56E33"/>
    <w:rsid w:val="00C57F06"/>
    <w:rsid w:val="00C60230"/>
    <w:rsid w:val="00C604D6"/>
    <w:rsid w:val="00C60F76"/>
    <w:rsid w:val="00C6105E"/>
    <w:rsid w:val="00C61863"/>
    <w:rsid w:val="00C61D59"/>
    <w:rsid w:val="00C625B8"/>
    <w:rsid w:val="00C6270E"/>
    <w:rsid w:val="00C63171"/>
    <w:rsid w:val="00C63B79"/>
    <w:rsid w:val="00C6440D"/>
    <w:rsid w:val="00C65383"/>
    <w:rsid w:val="00C6547F"/>
    <w:rsid w:val="00C65A6F"/>
    <w:rsid w:val="00C67C98"/>
    <w:rsid w:val="00C72633"/>
    <w:rsid w:val="00C72E46"/>
    <w:rsid w:val="00C72E6E"/>
    <w:rsid w:val="00C72FD2"/>
    <w:rsid w:val="00C73013"/>
    <w:rsid w:val="00C730F3"/>
    <w:rsid w:val="00C7312D"/>
    <w:rsid w:val="00C7314D"/>
    <w:rsid w:val="00C7476A"/>
    <w:rsid w:val="00C74D1E"/>
    <w:rsid w:val="00C74D4C"/>
    <w:rsid w:val="00C753B8"/>
    <w:rsid w:val="00C75F2B"/>
    <w:rsid w:val="00C76138"/>
    <w:rsid w:val="00C76E00"/>
    <w:rsid w:val="00C80230"/>
    <w:rsid w:val="00C814C9"/>
    <w:rsid w:val="00C829A3"/>
    <w:rsid w:val="00C82BDE"/>
    <w:rsid w:val="00C850D6"/>
    <w:rsid w:val="00C860E0"/>
    <w:rsid w:val="00C86603"/>
    <w:rsid w:val="00C87F3D"/>
    <w:rsid w:val="00C90A81"/>
    <w:rsid w:val="00C91A8D"/>
    <w:rsid w:val="00C93608"/>
    <w:rsid w:val="00C93ECD"/>
    <w:rsid w:val="00C944CB"/>
    <w:rsid w:val="00C94EB9"/>
    <w:rsid w:val="00C951A3"/>
    <w:rsid w:val="00C951A7"/>
    <w:rsid w:val="00C95254"/>
    <w:rsid w:val="00C95489"/>
    <w:rsid w:val="00C954C3"/>
    <w:rsid w:val="00C961F1"/>
    <w:rsid w:val="00C9744A"/>
    <w:rsid w:val="00C9763F"/>
    <w:rsid w:val="00C97EA6"/>
    <w:rsid w:val="00CA021F"/>
    <w:rsid w:val="00CA0436"/>
    <w:rsid w:val="00CA0B94"/>
    <w:rsid w:val="00CA1859"/>
    <w:rsid w:val="00CA2573"/>
    <w:rsid w:val="00CA3BAE"/>
    <w:rsid w:val="00CA3E31"/>
    <w:rsid w:val="00CA3E5D"/>
    <w:rsid w:val="00CA5D8E"/>
    <w:rsid w:val="00CA62C6"/>
    <w:rsid w:val="00CA7698"/>
    <w:rsid w:val="00CB08C2"/>
    <w:rsid w:val="00CB3A24"/>
    <w:rsid w:val="00CB3B01"/>
    <w:rsid w:val="00CB49DE"/>
    <w:rsid w:val="00CB5E81"/>
    <w:rsid w:val="00CB5F0B"/>
    <w:rsid w:val="00CB64C2"/>
    <w:rsid w:val="00CC0050"/>
    <w:rsid w:val="00CC082F"/>
    <w:rsid w:val="00CC1976"/>
    <w:rsid w:val="00CC1C8C"/>
    <w:rsid w:val="00CC1D65"/>
    <w:rsid w:val="00CC25C3"/>
    <w:rsid w:val="00CC2C7E"/>
    <w:rsid w:val="00CC3207"/>
    <w:rsid w:val="00CC3610"/>
    <w:rsid w:val="00CC362D"/>
    <w:rsid w:val="00CC4574"/>
    <w:rsid w:val="00CC4EFF"/>
    <w:rsid w:val="00CC50CF"/>
    <w:rsid w:val="00CC5321"/>
    <w:rsid w:val="00CC6A77"/>
    <w:rsid w:val="00CC6BDA"/>
    <w:rsid w:val="00CC6CCF"/>
    <w:rsid w:val="00CC7C18"/>
    <w:rsid w:val="00CC7F61"/>
    <w:rsid w:val="00CD15CB"/>
    <w:rsid w:val="00CD1961"/>
    <w:rsid w:val="00CD1AFF"/>
    <w:rsid w:val="00CD2123"/>
    <w:rsid w:val="00CD2A2F"/>
    <w:rsid w:val="00CD3B5E"/>
    <w:rsid w:val="00CD43D8"/>
    <w:rsid w:val="00CD4BAE"/>
    <w:rsid w:val="00CD52A8"/>
    <w:rsid w:val="00CD7035"/>
    <w:rsid w:val="00CD742E"/>
    <w:rsid w:val="00CD7A63"/>
    <w:rsid w:val="00CE0EF1"/>
    <w:rsid w:val="00CE11CB"/>
    <w:rsid w:val="00CE1920"/>
    <w:rsid w:val="00CE1D2C"/>
    <w:rsid w:val="00CE276B"/>
    <w:rsid w:val="00CE2B89"/>
    <w:rsid w:val="00CE3458"/>
    <w:rsid w:val="00CE3906"/>
    <w:rsid w:val="00CE40D0"/>
    <w:rsid w:val="00CE51D3"/>
    <w:rsid w:val="00CE5849"/>
    <w:rsid w:val="00CE5E0D"/>
    <w:rsid w:val="00CE6091"/>
    <w:rsid w:val="00CE70AB"/>
    <w:rsid w:val="00CF0018"/>
    <w:rsid w:val="00CF04C1"/>
    <w:rsid w:val="00CF0BA6"/>
    <w:rsid w:val="00CF17B5"/>
    <w:rsid w:val="00CF1CEC"/>
    <w:rsid w:val="00CF22C2"/>
    <w:rsid w:val="00CF2FE7"/>
    <w:rsid w:val="00CF4083"/>
    <w:rsid w:val="00CF4CF9"/>
    <w:rsid w:val="00CF5886"/>
    <w:rsid w:val="00CF66C7"/>
    <w:rsid w:val="00CF6926"/>
    <w:rsid w:val="00CF7A56"/>
    <w:rsid w:val="00CF7C62"/>
    <w:rsid w:val="00D0052F"/>
    <w:rsid w:val="00D00876"/>
    <w:rsid w:val="00D02AAC"/>
    <w:rsid w:val="00D03A7E"/>
    <w:rsid w:val="00D03F1C"/>
    <w:rsid w:val="00D04AD6"/>
    <w:rsid w:val="00D05B3B"/>
    <w:rsid w:val="00D0619E"/>
    <w:rsid w:val="00D0725E"/>
    <w:rsid w:val="00D0735D"/>
    <w:rsid w:val="00D077AA"/>
    <w:rsid w:val="00D10BF0"/>
    <w:rsid w:val="00D11269"/>
    <w:rsid w:val="00D1167C"/>
    <w:rsid w:val="00D124DB"/>
    <w:rsid w:val="00D1261B"/>
    <w:rsid w:val="00D12855"/>
    <w:rsid w:val="00D128DC"/>
    <w:rsid w:val="00D13253"/>
    <w:rsid w:val="00D13A21"/>
    <w:rsid w:val="00D13E8A"/>
    <w:rsid w:val="00D14484"/>
    <w:rsid w:val="00D14F77"/>
    <w:rsid w:val="00D151BC"/>
    <w:rsid w:val="00D15916"/>
    <w:rsid w:val="00D160E6"/>
    <w:rsid w:val="00D16843"/>
    <w:rsid w:val="00D16B4E"/>
    <w:rsid w:val="00D175E2"/>
    <w:rsid w:val="00D20188"/>
    <w:rsid w:val="00D22056"/>
    <w:rsid w:val="00D22249"/>
    <w:rsid w:val="00D226DC"/>
    <w:rsid w:val="00D231DE"/>
    <w:rsid w:val="00D2392B"/>
    <w:rsid w:val="00D24370"/>
    <w:rsid w:val="00D258F2"/>
    <w:rsid w:val="00D25A42"/>
    <w:rsid w:val="00D25A5A"/>
    <w:rsid w:val="00D26309"/>
    <w:rsid w:val="00D26B43"/>
    <w:rsid w:val="00D2780A"/>
    <w:rsid w:val="00D32543"/>
    <w:rsid w:val="00D3271A"/>
    <w:rsid w:val="00D32AB1"/>
    <w:rsid w:val="00D331C0"/>
    <w:rsid w:val="00D33793"/>
    <w:rsid w:val="00D33F31"/>
    <w:rsid w:val="00D34370"/>
    <w:rsid w:val="00D35329"/>
    <w:rsid w:val="00D35604"/>
    <w:rsid w:val="00D36547"/>
    <w:rsid w:val="00D37C1A"/>
    <w:rsid w:val="00D40AAB"/>
    <w:rsid w:val="00D41850"/>
    <w:rsid w:val="00D41CE7"/>
    <w:rsid w:val="00D42AFD"/>
    <w:rsid w:val="00D42C22"/>
    <w:rsid w:val="00D43991"/>
    <w:rsid w:val="00D43B00"/>
    <w:rsid w:val="00D43F6F"/>
    <w:rsid w:val="00D440D4"/>
    <w:rsid w:val="00D4572E"/>
    <w:rsid w:val="00D46064"/>
    <w:rsid w:val="00D46315"/>
    <w:rsid w:val="00D46E31"/>
    <w:rsid w:val="00D47FCD"/>
    <w:rsid w:val="00D51861"/>
    <w:rsid w:val="00D51C1D"/>
    <w:rsid w:val="00D51D84"/>
    <w:rsid w:val="00D52168"/>
    <w:rsid w:val="00D52AE8"/>
    <w:rsid w:val="00D52CC8"/>
    <w:rsid w:val="00D534A1"/>
    <w:rsid w:val="00D53E09"/>
    <w:rsid w:val="00D553D5"/>
    <w:rsid w:val="00D55D35"/>
    <w:rsid w:val="00D562B7"/>
    <w:rsid w:val="00D56512"/>
    <w:rsid w:val="00D60B53"/>
    <w:rsid w:val="00D60C18"/>
    <w:rsid w:val="00D610AC"/>
    <w:rsid w:val="00D611D9"/>
    <w:rsid w:val="00D61FA5"/>
    <w:rsid w:val="00D65BE7"/>
    <w:rsid w:val="00D66BEC"/>
    <w:rsid w:val="00D6720A"/>
    <w:rsid w:val="00D71B4F"/>
    <w:rsid w:val="00D72F6F"/>
    <w:rsid w:val="00D732AB"/>
    <w:rsid w:val="00D7375C"/>
    <w:rsid w:val="00D7381C"/>
    <w:rsid w:val="00D738EF"/>
    <w:rsid w:val="00D73D88"/>
    <w:rsid w:val="00D7425E"/>
    <w:rsid w:val="00D74354"/>
    <w:rsid w:val="00D746DA"/>
    <w:rsid w:val="00D74821"/>
    <w:rsid w:val="00D749ED"/>
    <w:rsid w:val="00D76359"/>
    <w:rsid w:val="00D767A5"/>
    <w:rsid w:val="00D76AB2"/>
    <w:rsid w:val="00D774C2"/>
    <w:rsid w:val="00D805D6"/>
    <w:rsid w:val="00D8072C"/>
    <w:rsid w:val="00D808C9"/>
    <w:rsid w:val="00D80BC0"/>
    <w:rsid w:val="00D81013"/>
    <w:rsid w:val="00D8129B"/>
    <w:rsid w:val="00D840A2"/>
    <w:rsid w:val="00D848D9"/>
    <w:rsid w:val="00D855E3"/>
    <w:rsid w:val="00D87024"/>
    <w:rsid w:val="00D87486"/>
    <w:rsid w:val="00D876CD"/>
    <w:rsid w:val="00D900E2"/>
    <w:rsid w:val="00D90F51"/>
    <w:rsid w:val="00D91473"/>
    <w:rsid w:val="00D925FA"/>
    <w:rsid w:val="00D92C5B"/>
    <w:rsid w:val="00D9340A"/>
    <w:rsid w:val="00D934D8"/>
    <w:rsid w:val="00D94DD0"/>
    <w:rsid w:val="00D9538C"/>
    <w:rsid w:val="00D956CC"/>
    <w:rsid w:val="00D95842"/>
    <w:rsid w:val="00D973DD"/>
    <w:rsid w:val="00DA12E8"/>
    <w:rsid w:val="00DA1A65"/>
    <w:rsid w:val="00DA1B30"/>
    <w:rsid w:val="00DA2863"/>
    <w:rsid w:val="00DA29F9"/>
    <w:rsid w:val="00DA30BA"/>
    <w:rsid w:val="00DA31A1"/>
    <w:rsid w:val="00DA4634"/>
    <w:rsid w:val="00DA49D1"/>
    <w:rsid w:val="00DA4D2E"/>
    <w:rsid w:val="00DA560B"/>
    <w:rsid w:val="00DB233B"/>
    <w:rsid w:val="00DB2F8A"/>
    <w:rsid w:val="00DB376A"/>
    <w:rsid w:val="00DB400D"/>
    <w:rsid w:val="00DB464D"/>
    <w:rsid w:val="00DB6377"/>
    <w:rsid w:val="00DB687E"/>
    <w:rsid w:val="00DB7377"/>
    <w:rsid w:val="00DB7853"/>
    <w:rsid w:val="00DB7BB8"/>
    <w:rsid w:val="00DC0D81"/>
    <w:rsid w:val="00DC16CF"/>
    <w:rsid w:val="00DC1A48"/>
    <w:rsid w:val="00DC2C46"/>
    <w:rsid w:val="00DC35ED"/>
    <w:rsid w:val="00DC4D06"/>
    <w:rsid w:val="00DC511C"/>
    <w:rsid w:val="00DC58E6"/>
    <w:rsid w:val="00DC5EB1"/>
    <w:rsid w:val="00DC6D6C"/>
    <w:rsid w:val="00DC7045"/>
    <w:rsid w:val="00DC7110"/>
    <w:rsid w:val="00DC74D4"/>
    <w:rsid w:val="00DC74D7"/>
    <w:rsid w:val="00DC7C3B"/>
    <w:rsid w:val="00DD03E0"/>
    <w:rsid w:val="00DD18BC"/>
    <w:rsid w:val="00DD2F32"/>
    <w:rsid w:val="00DD34BE"/>
    <w:rsid w:val="00DD3687"/>
    <w:rsid w:val="00DD42C0"/>
    <w:rsid w:val="00DD45E6"/>
    <w:rsid w:val="00DD49ED"/>
    <w:rsid w:val="00DD4C39"/>
    <w:rsid w:val="00DD523F"/>
    <w:rsid w:val="00DD699D"/>
    <w:rsid w:val="00DD6B76"/>
    <w:rsid w:val="00DD6C9A"/>
    <w:rsid w:val="00DE0848"/>
    <w:rsid w:val="00DE0B03"/>
    <w:rsid w:val="00DE107B"/>
    <w:rsid w:val="00DE1626"/>
    <w:rsid w:val="00DE1E2C"/>
    <w:rsid w:val="00DE2190"/>
    <w:rsid w:val="00DE31BA"/>
    <w:rsid w:val="00DE4488"/>
    <w:rsid w:val="00DE497D"/>
    <w:rsid w:val="00DE601F"/>
    <w:rsid w:val="00DE62C2"/>
    <w:rsid w:val="00DE6F68"/>
    <w:rsid w:val="00DF1149"/>
    <w:rsid w:val="00DF2335"/>
    <w:rsid w:val="00DF285C"/>
    <w:rsid w:val="00DF382A"/>
    <w:rsid w:val="00DF3C2B"/>
    <w:rsid w:val="00DF3F8A"/>
    <w:rsid w:val="00DF43C3"/>
    <w:rsid w:val="00DF6D51"/>
    <w:rsid w:val="00DF6FB7"/>
    <w:rsid w:val="00E00DC8"/>
    <w:rsid w:val="00E00F4A"/>
    <w:rsid w:val="00E0108F"/>
    <w:rsid w:val="00E01BCE"/>
    <w:rsid w:val="00E01C9D"/>
    <w:rsid w:val="00E02A80"/>
    <w:rsid w:val="00E02E99"/>
    <w:rsid w:val="00E02F01"/>
    <w:rsid w:val="00E02FA5"/>
    <w:rsid w:val="00E03500"/>
    <w:rsid w:val="00E03E0D"/>
    <w:rsid w:val="00E04469"/>
    <w:rsid w:val="00E055C8"/>
    <w:rsid w:val="00E072A0"/>
    <w:rsid w:val="00E07343"/>
    <w:rsid w:val="00E07D9F"/>
    <w:rsid w:val="00E07FC0"/>
    <w:rsid w:val="00E10E50"/>
    <w:rsid w:val="00E10F37"/>
    <w:rsid w:val="00E119A5"/>
    <w:rsid w:val="00E11FAB"/>
    <w:rsid w:val="00E11FE1"/>
    <w:rsid w:val="00E137D4"/>
    <w:rsid w:val="00E14148"/>
    <w:rsid w:val="00E146E6"/>
    <w:rsid w:val="00E155E7"/>
    <w:rsid w:val="00E1578F"/>
    <w:rsid w:val="00E1764F"/>
    <w:rsid w:val="00E20257"/>
    <w:rsid w:val="00E2044A"/>
    <w:rsid w:val="00E207CB"/>
    <w:rsid w:val="00E214E8"/>
    <w:rsid w:val="00E21C51"/>
    <w:rsid w:val="00E22291"/>
    <w:rsid w:val="00E227E1"/>
    <w:rsid w:val="00E22AF2"/>
    <w:rsid w:val="00E232AB"/>
    <w:rsid w:val="00E2389B"/>
    <w:rsid w:val="00E24120"/>
    <w:rsid w:val="00E24AC4"/>
    <w:rsid w:val="00E24E22"/>
    <w:rsid w:val="00E25FF4"/>
    <w:rsid w:val="00E260F3"/>
    <w:rsid w:val="00E2628A"/>
    <w:rsid w:val="00E26D0E"/>
    <w:rsid w:val="00E26FEA"/>
    <w:rsid w:val="00E27989"/>
    <w:rsid w:val="00E31194"/>
    <w:rsid w:val="00E32095"/>
    <w:rsid w:val="00E3235E"/>
    <w:rsid w:val="00E3445E"/>
    <w:rsid w:val="00E34CB8"/>
    <w:rsid w:val="00E360E3"/>
    <w:rsid w:val="00E364A5"/>
    <w:rsid w:val="00E369B5"/>
    <w:rsid w:val="00E408B9"/>
    <w:rsid w:val="00E40C10"/>
    <w:rsid w:val="00E41168"/>
    <w:rsid w:val="00E41928"/>
    <w:rsid w:val="00E444E1"/>
    <w:rsid w:val="00E44630"/>
    <w:rsid w:val="00E4511C"/>
    <w:rsid w:val="00E45E8C"/>
    <w:rsid w:val="00E46773"/>
    <w:rsid w:val="00E46C14"/>
    <w:rsid w:val="00E46EF5"/>
    <w:rsid w:val="00E47D4F"/>
    <w:rsid w:val="00E514A7"/>
    <w:rsid w:val="00E51E45"/>
    <w:rsid w:val="00E52145"/>
    <w:rsid w:val="00E5439B"/>
    <w:rsid w:val="00E55B23"/>
    <w:rsid w:val="00E55D50"/>
    <w:rsid w:val="00E57524"/>
    <w:rsid w:val="00E60B2E"/>
    <w:rsid w:val="00E60F36"/>
    <w:rsid w:val="00E61C0A"/>
    <w:rsid w:val="00E62C08"/>
    <w:rsid w:val="00E636F8"/>
    <w:rsid w:val="00E641D9"/>
    <w:rsid w:val="00E64245"/>
    <w:rsid w:val="00E64629"/>
    <w:rsid w:val="00E6758C"/>
    <w:rsid w:val="00E67DBE"/>
    <w:rsid w:val="00E70212"/>
    <w:rsid w:val="00E71C6D"/>
    <w:rsid w:val="00E72E54"/>
    <w:rsid w:val="00E74095"/>
    <w:rsid w:val="00E743C9"/>
    <w:rsid w:val="00E74CB3"/>
    <w:rsid w:val="00E755BD"/>
    <w:rsid w:val="00E75676"/>
    <w:rsid w:val="00E75768"/>
    <w:rsid w:val="00E75AA9"/>
    <w:rsid w:val="00E769E7"/>
    <w:rsid w:val="00E77DD7"/>
    <w:rsid w:val="00E80012"/>
    <w:rsid w:val="00E80BE5"/>
    <w:rsid w:val="00E81E4F"/>
    <w:rsid w:val="00E8206D"/>
    <w:rsid w:val="00E8328B"/>
    <w:rsid w:val="00E8348F"/>
    <w:rsid w:val="00E83B37"/>
    <w:rsid w:val="00E842EE"/>
    <w:rsid w:val="00E857A5"/>
    <w:rsid w:val="00E870E2"/>
    <w:rsid w:val="00E90AEF"/>
    <w:rsid w:val="00E90D88"/>
    <w:rsid w:val="00E9183B"/>
    <w:rsid w:val="00E91ED4"/>
    <w:rsid w:val="00E91F7A"/>
    <w:rsid w:val="00E92D81"/>
    <w:rsid w:val="00E942BD"/>
    <w:rsid w:val="00E95994"/>
    <w:rsid w:val="00E96EB5"/>
    <w:rsid w:val="00EA03F4"/>
    <w:rsid w:val="00EA2006"/>
    <w:rsid w:val="00EA29BE"/>
    <w:rsid w:val="00EA2F51"/>
    <w:rsid w:val="00EA47EF"/>
    <w:rsid w:val="00EA5ADE"/>
    <w:rsid w:val="00EA6FA2"/>
    <w:rsid w:val="00EA7649"/>
    <w:rsid w:val="00EB096E"/>
    <w:rsid w:val="00EB19F9"/>
    <w:rsid w:val="00EB2076"/>
    <w:rsid w:val="00EB29D5"/>
    <w:rsid w:val="00EB2D43"/>
    <w:rsid w:val="00EB4907"/>
    <w:rsid w:val="00EB5852"/>
    <w:rsid w:val="00EC0038"/>
    <w:rsid w:val="00EC0BD5"/>
    <w:rsid w:val="00EC129F"/>
    <w:rsid w:val="00EC1371"/>
    <w:rsid w:val="00EC191B"/>
    <w:rsid w:val="00EC1ACA"/>
    <w:rsid w:val="00EC1DD0"/>
    <w:rsid w:val="00EC2097"/>
    <w:rsid w:val="00EC2592"/>
    <w:rsid w:val="00EC2987"/>
    <w:rsid w:val="00EC32C9"/>
    <w:rsid w:val="00EC4378"/>
    <w:rsid w:val="00EC5315"/>
    <w:rsid w:val="00EC5691"/>
    <w:rsid w:val="00EC5CB2"/>
    <w:rsid w:val="00EC6573"/>
    <w:rsid w:val="00EC66C3"/>
    <w:rsid w:val="00EC70FA"/>
    <w:rsid w:val="00EC7CBF"/>
    <w:rsid w:val="00EC7E7E"/>
    <w:rsid w:val="00ED005F"/>
    <w:rsid w:val="00ED007A"/>
    <w:rsid w:val="00ED111D"/>
    <w:rsid w:val="00ED2517"/>
    <w:rsid w:val="00ED33AF"/>
    <w:rsid w:val="00ED4FCB"/>
    <w:rsid w:val="00ED52BB"/>
    <w:rsid w:val="00ED65A9"/>
    <w:rsid w:val="00ED7890"/>
    <w:rsid w:val="00ED7ECA"/>
    <w:rsid w:val="00EE00D5"/>
    <w:rsid w:val="00EE0382"/>
    <w:rsid w:val="00EE04C9"/>
    <w:rsid w:val="00EE055E"/>
    <w:rsid w:val="00EE1B93"/>
    <w:rsid w:val="00EE1CC2"/>
    <w:rsid w:val="00EE206B"/>
    <w:rsid w:val="00EE2804"/>
    <w:rsid w:val="00EE2E3A"/>
    <w:rsid w:val="00EE4F7C"/>
    <w:rsid w:val="00EE5147"/>
    <w:rsid w:val="00EE543F"/>
    <w:rsid w:val="00EE5659"/>
    <w:rsid w:val="00EE57C3"/>
    <w:rsid w:val="00EE5B8C"/>
    <w:rsid w:val="00EE6414"/>
    <w:rsid w:val="00EE695A"/>
    <w:rsid w:val="00EE6DC2"/>
    <w:rsid w:val="00EE730B"/>
    <w:rsid w:val="00EF0267"/>
    <w:rsid w:val="00EF08BA"/>
    <w:rsid w:val="00EF152C"/>
    <w:rsid w:val="00EF1A99"/>
    <w:rsid w:val="00EF2231"/>
    <w:rsid w:val="00EF223A"/>
    <w:rsid w:val="00EF27DE"/>
    <w:rsid w:val="00EF2989"/>
    <w:rsid w:val="00EF3254"/>
    <w:rsid w:val="00EF425C"/>
    <w:rsid w:val="00EF5003"/>
    <w:rsid w:val="00EF5093"/>
    <w:rsid w:val="00EF5FF0"/>
    <w:rsid w:val="00F007FF"/>
    <w:rsid w:val="00F00BA9"/>
    <w:rsid w:val="00F00D8C"/>
    <w:rsid w:val="00F0140B"/>
    <w:rsid w:val="00F033A8"/>
    <w:rsid w:val="00F03FBC"/>
    <w:rsid w:val="00F04B13"/>
    <w:rsid w:val="00F05175"/>
    <w:rsid w:val="00F0591C"/>
    <w:rsid w:val="00F05CF2"/>
    <w:rsid w:val="00F06256"/>
    <w:rsid w:val="00F068C1"/>
    <w:rsid w:val="00F068F6"/>
    <w:rsid w:val="00F06B03"/>
    <w:rsid w:val="00F079FD"/>
    <w:rsid w:val="00F106BA"/>
    <w:rsid w:val="00F10B1B"/>
    <w:rsid w:val="00F11A2E"/>
    <w:rsid w:val="00F12596"/>
    <w:rsid w:val="00F144B0"/>
    <w:rsid w:val="00F14A05"/>
    <w:rsid w:val="00F14AFC"/>
    <w:rsid w:val="00F14D8B"/>
    <w:rsid w:val="00F14EC9"/>
    <w:rsid w:val="00F16203"/>
    <w:rsid w:val="00F16CED"/>
    <w:rsid w:val="00F20FD4"/>
    <w:rsid w:val="00F21964"/>
    <w:rsid w:val="00F22374"/>
    <w:rsid w:val="00F22CF5"/>
    <w:rsid w:val="00F22D83"/>
    <w:rsid w:val="00F2375E"/>
    <w:rsid w:val="00F23D59"/>
    <w:rsid w:val="00F24614"/>
    <w:rsid w:val="00F25CF4"/>
    <w:rsid w:val="00F2777A"/>
    <w:rsid w:val="00F30186"/>
    <w:rsid w:val="00F30938"/>
    <w:rsid w:val="00F30EB8"/>
    <w:rsid w:val="00F31203"/>
    <w:rsid w:val="00F3141A"/>
    <w:rsid w:val="00F31CD0"/>
    <w:rsid w:val="00F31FD8"/>
    <w:rsid w:val="00F32107"/>
    <w:rsid w:val="00F321A4"/>
    <w:rsid w:val="00F32E5F"/>
    <w:rsid w:val="00F32E9A"/>
    <w:rsid w:val="00F33315"/>
    <w:rsid w:val="00F34630"/>
    <w:rsid w:val="00F34897"/>
    <w:rsid w:val="00F35A57"/>
    <w:rsid w:val="00F35FAF"/>
    <w:rsid w:val="00F36194"/>
    <w:rsid w:val="00F36F45"/>
    <w:rsid w:val="00F36F82"/>
    <w:rsid w:val="00F37E6C"/>
    <w:rsid w:val="00F406F8"/>
    <w:rsid w:val="00F40A0D"/>
    <w:rsid w:val="00F40A52"/>
    <w:rsid w:val="00F416F1"/>
    <w:rsid w:val="00F417B2"/>
    <w:rsid w:val="00F418B9"/>
    <w:rsid w:val="00F419DD"/>
    <w:rsid w:val="00F43B1F"/>
    <w:rsid w:val="00F44822"/>
    <w:rsid w:val="00F4566B"/>
    <w:rsid w:val="00F4572C"/>
    <w:rsid w:val="00F4607A"/>
    <w:rsid w:val="00F46173"/>
    <w:rsid w:val="00F46C77"/>
    <w:rsid w:val="00F47E8D"/>
    <w:rsid w:val="00F51573"/>
    <w:rsid w:val="00F52687"/>
    <w:rsid w:val="00F528B6"/>
    <w:rsid w:val="00F52DC9"/>
    <w:rsid w:val="00F53B3A"/>
    <w:rsid w:val="00F55FE6"/>
    <w:rsid w:val="00F563B5"/>
    <w:rsid w:val="00F56C87"/>
    <w:rsid w:val="00F5714D"/>
    <w:rsid w:val="00F572B9"/>
    <w:rsid w:val="00F60B08"/>
    <w:rsid w:val="00F61F96"/>
    <w:rsid w:val="00F63ECF"/>
    <w:rsid w:val="00F63FB3"/>
    <w:rsid w:val="00F64722"/>
    <w:rsid w:val="00F6534B"/>
    <w:rsid w:val="00F6655C"/>
    <w:rsid w:val="00F666C8"/>
    <w:rsid w:val="00F702EE"/>
    <w:rsid w:val="00F70322"/>
    <w:rsid w:val="00F72511"/>
    <w:rsid w:val="00F72DD2"/>
    <w:rsid w:val="00F72E21"/>
    <w:rsid w:val="00F731F2"/>
    <w:rsid w:val="00F733D9"/>
    <w:rsid w:val="00F73552"/>
    <w:rsid w:val="00F7393C"/>
    <w:rsid w:val="00F73C30"/>
    <w:rsid w:val="00F74207"/>
    <w:rsid w:val="00F7462F"/>
    <w:rsid w:val="00F74975"/>
    <w:rsid w:val="00F74D62"/>
    <w:rsid w:val="00F7500F"/>
    <w:rsid w:val="00F772F5"/>
    <w:rsid w:val="00F77364"/>
    <w:rsid w:val="00F80A02"/>
    <w:rsid w:val="00F80CFB"/>
    <w:rsid w:val="00F8104E"/>
    <w:rsid w:val="00F815AC"/>
    <w:rsid w:val="00F820DE"/>
    <w:rsid w:val="00F82488"/>
    <w:rsid w:val="00F83271"/>
    <w:rsid w:val="00F8409C"/>
    <w:rsid w:val="00F8552D"/>
    <w:rsid w:val="00F8659D"/>
    <w:rsid w:val="00F86D4E"/>
    <w:rsid w:val="00F86DFD"/>
    <w:rsid w:val="00F87192"/>
    <w:rsid w:val="00F877E6"/>
    <w:rsid w:val="00F87A08"/>
    <w:rsid w:val="00F87B67"/>
    <w:rsid w:val="00F87E9E"/>
    <w:rsid w:val="00F90934"/>
    <w:rsid w:val="00F90C92"/>
    <w:rsid w:val="00F90FA5"/>
    <w:rsid w:val="00F9224B"/>
    <w:rsid w:val="00F93172"/>
    <w:rsid w:val="00F9383A"/>
    <w:rsid w:val="00F93F66"/>
    <w:rsid w:val="00F9408B"/>
    <w:rsid w:val="00F94263"/>
    <w:rsid w:val="00F94AA1"/>
    <w:rsid w:val="00F94B92"/>
    <w:rsid w:val="00F95184"/>
    <w:rsid w:val="00F969D0"/>
    <w:rsid w:val="00F96C08"/>
    <w:rsid w:val="00F97716"/>
    <w:rsid w:val="00FA0451"/>
    <w:rsid w:val="00FA0552"/>
    <w:rsid w:val="00FA0850"/>
    <w:rsid w:val="00FA09AF"/>
    <w:rsid w:val="00FA0CFD"/>
    <w:rsid w:val="00FA1139"/>
    <w:rsid w:val="00FA2648"/>
    <w:rsid w:val="00FA2CDF"/>
    <w:rsid w:val="00FA2D88"/>
    <w:rsid w:val="00FA2E55"/>
    <w:rsid w:val="00FA366D"/>
    <w:rsid w:val="00FA3D19"/>
    <w:rsid w:val="00FA5A3C"/>
    <w:rsid w:val="00FA6252"/>
    <w:rsid w:val="00FA6D68"/>
    <w:rsid w:val="00FA70D8"/>
    <w:rsid w:val="00FA7A82"/>
    <w:rsid w:val="00FA7BAE"/>
    <w:rsid w:val="00FA7FB2"/>
    <w:rsid w:val="00FB0397"/>
    <w:rsid w:val="00FB05A2"/>
    <w:rsid w:val="00FB08E5"/>
    <w:rsid w:val="00FB3761"/>
    <w:rsid w:val="00FB40E9"/>
    <w:rsid w:val="00FB49FD"/>
    <w:rsid w:val="00FB4B87"/>
    <w:rsid w:val="00FB556B"/>
    <w:rsid w:val="00FB5DF1"/>
    <w:rsid w:val="00FB6099"/>
    <w:rsid w:val="00FB69FC"/>
    <w:rsid w:val="00FB6B89"/>
    <w:rsid w:val="00FB781D"/>
    <w:rsid w:val="00FC03CD"/>
    <w:rsid w:val="00FC37CD"/>
    <w:rsid w:val="00FC3DE5"/>
    <w:rsid w:val="00FC3EE7"/>
    <w:rsid w:val="00FC5A74"/>
    <w:rsid w:val="00FC5F73"/>
    <w:rsid w:val="00FC6000"/>
    <w:rsid w:val="00FC6300"/>
    <w:rsid w:val="00FC63A7"/>
    <w:rsid w:val="00FD05F7"/>
    <w:rsid w:val="00FD0CEB"/>
    <w:rsid w:val="00FD10A5"/>
    <w:rsid w:val="00FD1341"/>
    <w:rsid w:val="00FD1AB6"/>
    <w:rsid w:val="00FD1E36"/>
    <w:rsid w:val="00FD20B7"/>
    <w:rsid w:val="00FD3328"/>
    <w:rsid w:val="00FD3A44"/>
    <w:rsid w:val="00FD414A"/>
    <w:rsid w:val="00FD4950"/>
    <w:rsid w:val="00FD5626"/>
    <w:rsid w:val="00FD5EF4"/>
    <w:rsid w:val="00FD671C"/>
    <w:rsid w:val="00FD6E0B"/>
    <w:rsid w:val="00FD7EA0"/>
    <w:rsid w:val="00FE03E0"/>
    <w:rsid w:val="00FE0C64"/>
    <w:rsid w:val="00FE0FED"/>
    <w:rsid w:val="00FE43FB"/>
    <w:rsid w:val="00FE4418"/>
    <w:rsid w:val="00FE5155"/>
    <w:rsid w:val="00FE6351"/>
    <w:rsid w:val="00FE668B"/>
    <w:rsid w:val="00FE6878"/>
    <w:rsid w:val="00FE6B3A"/>
    <w:rsid w:val="00FF025B"/>
    <w:rsid w:val="00FF24AA"/>
    <w:rsid w:val="00FF2E3A"/>
    <w:rsid w:val="00FF4B21"/>
    <w:rsid w:val="00FF62FB"/>
    <w:rsid w:val="00FF63AB"/>
    <w:rsid w:val="00FF7B94"/>
    <w:rsid w:val="00FF7F2F"/>
    <w:rsid w:val="010F3BA1"/>
    <w:rsid w:val="01364DBE"/>
    <w:rsid w:val="014748DD"/>
    <w:rsid w:val="014C42B0"/>
    <w:rsid w:val="01545EE7"/>
    <w:rsid w:val="01624A45"/>
    <w:rsid w:val="01660784"/>
    <w:rsid w:val="016A5229"/>
    <w:rsid w:val="017065C6"/>
    <w:rsid w:val="01752785"/>
    <w:rsid w:val="01784312"/>
    <w:rsid w:val="01905D85"/>
    <w:rsid w:val="019742F4"/>
    <w:rsid w:val="01DD6D41"/>
    <w:rsid w:val="01DF4BC3"/>
    <w:rsid w:val="01F10BA4"/>
    <w:rsid w:val="01F3589A"/>
    <w:rsid w:val="01F44E01"/>
    <w:rsid w:val="01FD3E07"/>
    <w:rsid w:val="02023429"/>
    <w:rsid w:val="0205428D"/>
    <w:rsid w:val="020810ED"/>
    <w:rsid w:val="020B4C88"/>
    <w:rsid w:val="020B6A0C"/>
    <w:rsid w:val="020F1156"/>
    <w:rsid w:val="021B057A"/>
    <w:rsid w:val="021B4775"/>
    <w:rsid w:val="021E7C9D"/>
    <w:rsid w:val="02291A02"/>
    <w:rsid w:val="023B299E"/>
    <w:rsid w:val="0253124E"/>
    <w:rsid w:val="02595125"/>
    <w:rsid w:val="025A4D35"/>
    <w:rsid w:val="025D73D7"/>
    <w:rsid w:val="02601947"/>
    <w:rsid w:val="02666000"/>
    <w:rsid w:val="026A34BE"/>
    <w:rsid w:val="026D0A65"/>
    <w:rsid w:val="02757595"/>
    <w:rsid w:val="02765DBC"/>
    <w:rsid w:val="02781BC8"/>
    <w:rsid w:val="027A164A"/>
    <w:rsid w:val="02912A1C"/>
    <w:rsid w:val="029B6097"/>
    <w:rsid w:val="029C3B08"/>
    <w:rsid w:val="02A82F74"/>
    <w:rsid w:val="02A97FD3"/>
    <w:rsid w:val="02AA4A12"/>
    <w:rsid w:val="02AD069C"/>
    <w:rsid w:val="02B0300F"/>
    <w:rsid w:val="02B55DB1"/>
    <w:rsid w:val="02C80004"/>
    <w:rsid w:val="02CA20FF"/>
    <w:rsid w:val="02CD2724"/>
    <w:rsid w:val="02CE2EAA"/>
    <w:rsid w:val="02D23B31"/>
    <w:rsid w:val="02E31EB9"/>
    <w:rsid w:val="02E93246"/>
    <w:rsid w:val="02EB4148"/>
    <w:rsid w:val="02ED4A28"/>
    <w:rsid w:val="02F21E76"/>
    <w:rsid w:val="02F24883"/>
    <w:rsid w:val="02F627FE"/>
    <w:rsid w:val="02FB3625"/>
    <w:rsid w:val="03087D2F"/>
    <w:rsid w:val="03282AC7"/>
    <w:rsid w:val="032A2D55"/>
    <w:rsid w:val="033A0C2B"/>
    <w:rsid w:val="034B2C6A"/>
    <w:rsid w:val="034D7325"/>
    <w:rsid w:val="03753DE6"/>
    <w:rsid w:val="037C1110"/>
    <w:rsid w:val="03830B72"/>
    <w:rsid w:val="03926BB7"/>
    <w:rsid w:val="039E5DCF"/>
    <w:rsid w:val="03C414D5"/>
    <w:rsid w:val="03C50FE5"/>
    <w:rsid w:val="03C72325"/>
    <w:rsid w:val="03CE3731"/>
    <w:rsid w:val="03E97D17"/>
    <w:rsid w:val="03F2095F"/>
    <w:rsid w:val="03F8587F"/>
    <w:rsid w:val="040747FF"/>
    <w:rsid w:val="04153FE3"/>
    <w:rsid w:val="0421195D"/>
    <w:rsid w:val="04244AC8"/>
    <w:rsid w:val="04261DDC"/>
    <w:rsid w:val="042D4A10"/>
    <w:rsid w:val="04567BA5"/>
    <w:rsid w:val="045D7016"/>
    <w:rsid w:val="04673CA2"/>
    <w:rsid w:val="048F6B41"/>
    <w:rsid w:val="04976E6A"/>
    <w:rsid w:val="04B34863"/>
    <w:rsid w:val="04B96BD2"/>
    <w:rsid w:val="04BC429E"/>
    <w:rsid w:val="04C07F34"/>
    <w:rsid w:val="04CE2155"/>
    <w:rsid w:val="04D84BA6"/>
    <w:rsid w:val="04DB6224"/>
    <w:rsid w:val="04E13EC8"/>
    <w:rsid w:val="04E61E9A"/>
    <w:rsid w:val="04F13F98"/>
    <w:rsid w:val="05033049"/>
    <w:rsid w:val="05067A15"/>
    <w:rsid w:val="05096EB1"/>
    <w:rsid w:val="050E0AD6"/>
    <w:rsid w:val="051422C6"/>
    <w:rsid w:val="05153126"/>
    <w:rsid w:val="0515429D"/>
    <w:rsid w:val="051A6E6B"/>
    <w:rsid w:val="051A74BA"/>
    <w:rsid w:val="052560C7"/>
    <w:rsid w:val="052672DE"/>
    <w:rsid w:val="053060B7"/>
    <w:rsid w:val="053524D3"/>
    <w:rsid w:val="053E50E6"/>
    <w:rsid w:val="054A35C0"/>
    <w:rsid w:val="055244D9"/>
    <w:rsid w:val="055527D9"/>
    <w:rsid w:val="05575B93"/>
    <w:rsid w:val="0567673F"/>
    <w:rsid w:val="057516F3"/>
    <w:rsid w:val="05764947"/>
    <w:rsid w:val="057A4B7F"/>
    <w:rsid w:val="05834744"/>
    <w:rsid w:val="05871B0A"/>
    <w:rsid w:val="05876981"/>
    <w:rsid w:val="05892619"/>
    <w:rsid w:val="058A0576"/>
    <w:rsid w:val="058F2EA5"/>
    <w:rsid w:val="059B0011"/>
    <w:rsid w:val="05A247CB"/>
    <w:rsid w:val="05AB562A"/>
    <w:rsid w:val="05B178CA"/>
    <w:rsid w:val="05C9327D"/>
    <w:rsid w:val="05E16CBA"/>
    <w:rsid w:val="05E42000"/>
    <w:rsid w:val="05F71604"/>
    <w:rsid w:val="060C3D2F"/>
    <w:rsid w:val="0612255C"/>
    <w:rsid w:val="06204AF4"/>
    <w:rsid w:val="06390ADE"/>
    <w:rsid w:val="063E41D4"/>
    <w:rsid w:val="063F7467"/>
    <w:rsid w:val="06492BF4"/>
    <w:rsid w:val="06593B19"/>
    <w:rsid w:val="065A30FC"/>
    <w:rsid w:val="067C318F"/>
    <w:rsid w:val="067E6EFC"/>
    <w:rsid w:val="067F671E"/>
    <w:rsid w:val="068B3BD1"/>
    <w:rsid w:val="06960323"/>
    <w:rsid w:val="069D12A8"/>
    <w:rsid w:val="06A636BC"/>
    <w:rsid w:val="06AB5901"/>
    <w:rsid w:val="06B331CE"/>
    <w:rsid w:val="06C27D54"/>
    <w:rsid w:val="06C33E82"/>
    <w:rsid w:val="06CB0518"/>
    <w:rsid w:val="06CE611A"/>
    <w:rsid w:val="06D549E2"/>
    <w:rsid w:val="06E67BC3"/>
    <w:rsid w:val="06EA596A"/>
    <w:rsid w:val="07002E14"/>
    <w:rsid w:val="07035071"/>
    <w:rsid w:val="07114F47"/>
    <w:rsid w:val="071365EC"/>
    <w:rsid w:val="071C203C"/>
    <w:rsid w:val="071D7AF4"/>
    <w:rsid w:val="07202F73"/>
    <w:rsid w:val="07207BC5"/>
    <w:rsid w:val="07493B32"/>
    <w:rsid w:val="07585B24"/>
    <w:rsid w:val="076C2D88"/>
    <w:rsid w:val="07717289"/>
    <w:rsid w:val="07726295"/>
    <w:rsid w:val="077F1D4C"/>
    <w:rsid w:val="07825185"/>
    <w:rsid w:val="0790501E"/>
    <w:rsid w:val="0791525D"/>
    <w:rsid w:val="0794736C"/>
    <w:rsid w:val="079A4F95"/>
    <w:rsid w:val="07A36D71"/>
    <w:rsid w:val="07AC5A1F"/>
    <w:rsid w:val="07BD6719"/>
    <w:rsid w:val="07C5140B"/>
    <w:rsid w:val="07C963DC"/>
    <w:rsid w:val="07EE2849"/>
    <w:rsid w:val="07F04BCB"/>
    <w:rsid w:val="07F0532F"/>
    <w:rsid w:val="080A0589"/>
    <w:rsid w:val="080A09BA"/>
    <w:rsid w:val="081241AB"/>
    <w:rsid w:val="081C7EFA"/>
    <w:rsid w:val="081E283D"/>
    <w:rsid w:val="081E2FEC"/>
    <w:rsid w:val="08395955"/>
    <w:rsid w:val="083F4623"/>
    <w:rsid w:val="0845294E"/>
    <w:rsid w:val="08453D38"/>
    <w:rsid w:val="08474E8A"/>
    <w:rsid w:val="084B34AC"/>
    <w:rsid w:val="08505AC0"/>
    <w:rsid w:val="085327A7"/>
    <w:rsid w:val="085B194D"/>
    <w:rsid w:val="08641D57"/>
    <w:rsid w:val="088254F9"/>
    <w:rsid w:val="088E75DA"/>
    <w:rsid w:val="08A42100"/>
    <w:rsid w:val="08AA0601"/>
    <w:rsid w:val="08BC0600"/>
    <w:rsid w:val="08C5442F"/>
    <w:rsid w:val="08CC207D"/>
    <w:rsid w:val="08D00194"/>
    <w:rsid w:val="08D15539"/>
    <w:rsid w:val="08E36DE5"/>
    <w:rsid w:val="08EE7F3B"/>
    <w:rsid w:val="090B07D9"/>
    <w:rsid w:val="0917677F"/>
    <w:rsid w:val="09177BD1"/>
    <w:rsid w:val="092263E9"/>
    <w:rsid w:val="092A2439"/>
    <w:rsid w:val="092F6AB9"/>
    <w:rsid w:val="09330839"/>
    <w:rsid w:val="093B3EA0"/>
    <w:rsid w:val="093B7B70"/>
    <w:rsid w:val="095825A3"/>
    <w:rsid w:val="097422C8"/>
    <w:rsid w:val="097B1C1B"/>
    <w:rsid w:val="09813F2C"/>
    <w:rsid w:val="098526F9"/>
    <w:rsid w:val="098544AD"/>
    <w:rsid w:val="09867F28"/>
    <w:rsid w:val="0996798A"/>
    <w:rsid w:val="09AF7F3C"/>
    <w:rsid w:val="09B30C71"/>
    <w:rsid w:val="09B7681E"/>
    <w:rsid w:val="09BF18C8"/>
    <w:rsid w:val="09BF240F"/>
    <w:rsid w:val="09E52755"/>
    <w:rsid w:val="0A074741"/>
    <w:rsid w:val="0A0B3528"/>
    <w:rsid w:val="0A207C9D"/>
    <w:rsid w:val="0A2C3031"/>
    <w:rsid w:val="0A5550CD"/>
    <w:rsid w:val="0A5711E0"/>
    <w:rsid w:val="0A590E5F"/>
    <w:rsid w:val="0A5C53C3"/>
    <w:rsid w:val="0A752E3B"/>
    <w:rsid w:val="0A8B36B0"/>
    <w:rsid w:val="0A986F32"/>
    <w:rsid w:val="0A9D20B3"/>
    <w:rsid w:val="0A9F2E83"/>
    <w:rsid w:val="0AAD755F"/>
    <w:rsid w:val="0AAE1BCC"/>
    <w:rsid w:val="0AB32CF0"/>
    <w:rsid w:val="0AB35B63"/>
    <w:rsid w:val="0ACA6D38"/>
    <w:rsid w:val="0ACF4939"/>
    <w:rsid w:val="0AD33E3F"/>
    <w:rsid w:val="0AD876A7"/>
    <w:rsid w:val="0AE061E5"/>
    <w:rsid w:val="0AFD5399"/>
    <w:rsid w:val="0B063E21"/>
    <w:rsid w:val="0B114538"/>
    <w:rsid w:val="0B1464DD"/>
    <w:rsid w:val="0B167773"/>
    <w:rsid w:val="0B1A381C"/>
    <w:rsid w:val="0B2B123D"/>
    <w:rsid w:val="0B332FC9"/>
    <w:rsid w:val="0B345D7C"/>
    <w:rsid w:val="0B375998"/>
    <w:rsid w:val="0B43394E"/>
    <w:rsid w:val="0B5405D4"/>
    <w:rsid w:val="0B581FB4"/>
    <w:rsid w:val="0B6B5350"/>
    <w:rsid w:val="0B7059C0"/>
    <w:rsid w:val="0B776EC0"/>
    <w:rsid w:val="0B7A12B5"/>
    <w:rsid w:val="0B811AED"/>
    <w:rsid w:val="0B833B86"/>
    <w:rsid w:val="0B8D0492"/>
    <w:rsid w:val="0B946FB5"/>
    <w:rsid w:val="0B9858EB"/>
    <w:rsid w:val="0BA00463"/>
    <w:rsid w:val="0BAB4DBC"/>
    <w:rsid w:val="0BAF285A"/>
    <w:rsid w:val="0BBE69D9"/>
    <w:rsid w:val="0BBF281F"/>
    <w:rsid w:val="0BBF4E37"/>
    <w:rsid w:val="0BDA4CAA"/>
    <w:rsid w:val="0BE156F8"/>
    <w:rsid w:val="0BE33CF4"/>
    <w:rsid w:val="0BE34C56"/>
    <w:rsid w:val="0BEA5C78"/>
    <w:rsid w:val="0BFF2915"/>
    <w:rsid w:val="0C073783"/>
    <w:rsid w:val="0C0A5F77"/>
    <w:rsid w:val="0C0B3C63"/>
    <w:rsid w:val="0C2615FD"/>
    <w:rsid w:val="0C282BBB"/>
    <w:rsid w:val="0C375218"/>
    <w:rsid w:val="0C3A4AFC"/>
    <w:rsid w:val="0C452B1A"/>
    <w:rsid w:val="0C6C49CE"/>
    <w:rsid w:val="0C88297C"/>
    <w:rsid w:val="0C894DA0"/>
    <w:rsid w:val="0C8E0DE0"/>
    <w:rsid w:val="0CA163AF"/>
    <w:rsid w:val="0CA336E5"/>
    <w:rsid w:val="0CA55BDF"/>
    <w:rsid w:val="0CA94F9A"/>
    <w:rsid w:val="0CAE6358"/>
    <w:rsid w:val="0CB30384"/>
    <w:rsid w:val="0CB671E8"/>
    <w:rsid w:val="0CB8153E"/>
    <w:rsid w:val="0CBB10C5"/>
    <w:rsid w:val="0CBD269F"/>
    <w:rsid w:val="0CD27FFC"/>
    <w:rsid w:val="0CE667D5"/>
    <w:rsid w:val="0CE974F0"/>
    <w:rsid w:val="0CEE5806"/>
    <w:rsid w:val="0CEE636A"/>
    <w:rsid w:val="0CEF41B0"/>
    <w:rsid w:val="0CF0323B"/>
    <w:rsid w:val="0CF53B32"/>
    <w:rsid w:val="0D076BD8"/>
    <w:rsid w:val="0D150D03"/>
    <w:rsid w:val="0D1F497B"/>
    <w:rsid w:val="0D29361F"/>
    <w:rsid w:val="0D327621"/>
    <w:rsid w:val="0D3654C4"/>
    <w:rsid w:val="0D393311"/>
    <w:rsid w:val="0D396A3A"/>
    <w:rsid w:val="0D3A6EDC"/>
    <w:rsid w:val="0D495180"/>
    <w:rsid w:val="0D4A7A23"/>
    <w:rsid w:val="0D5F4FBA"/>
    <w:rsid w:val="0D6C1273"/>
    <w:rsid w:val="0D743E2C"/>
    <w:rsid w:val="0D7C50BC"/>
    <w:rsid w:val="0D9D2EDD"/>
    <w:rsid w:val="0DA815B3"/>
    <w:rsid w:val="0DA821DF"/>
    <w:rsid w:val="0DAA384F"/>
    <w:rsid w:val="0DAD7492"/>
    <w:rsid w:val="0DAE7D2A"/>
    <w:rsid w:val="0DB94722"/>
    <w:rsid w:val="0DCA356C"/>
    <w:rsid w:val="0DD26970"/>
    <w:rsid w:val="0DDE30F2"/>
    <w:rsid w:val="0DE23CF6"/>
    <w:rsid w:val="0DE60222"/>
    <w:rsid w:val="0DE942C2"/>
    <w:rsid w:val="0DED62FD"/>
    <w:rsid w:val="0DF47661"/>
    <w:rsid w:val="0DF84FCE"/>
    <w:rsid w:val="0E024F30"/>
    <w:rsid w:val="0E29420B"/>
    <w:rsid w:val="0E2C0828"/>
    <w:rsid w:val="0E2F227B"/>
    <w:rsid w:val="0E337EF7"/>
    <w:rsid w:val="0E4066D0"/>
    <w:rsid w:val="0E4A1F0A"/>
    <w:rsid w:val="0E527771"/>
    <w:rsid w:val="0E5718B1"/>
    <w:rsid w:val="0E605FF6"/>
    <w:rsid w:val="0E765669"/>
    <w:rsid w:val="0E807E3A"/>
    <w:rsid w:val="0E81551C"/>
    <w:rsid w:val="0E8413AD"/>
    <w:rsid w:val="0EA43F04"/>
    <w:rsid w:val="0EAA7F3C"/>
    <w:rsid w:val="0EB65D27"/>
    <w:rsid w:val="0EC20452"/>
    <w:rsid w:val="0ECD3741"/>
    <w:rsid w:val="0EE57F43"/>
    <w:rsid w:val="0EF07B2D"/>
    <w:rsid w:val="0EF20DBE"/>
    <w:rsid w:val="0EF46D66"/>
    <w:rsid w:val="0EFE6587"/>
    <w:rsid w:val="0F0003F0"/>
    <w:rsid w:val="0F203DE2"/>
    <w:rsid w:val="0F24110D"/>
    <w:rsid w:val="0F334694"/>
    <w:rsid w:val="0F3550C8"/>
    <w:rsid w:val="0F3F5F47"/>
    <w:rsid w:val="0F4437C8"/>
    <w:rsid w:val="0F62425C"/>
    <w:rsid w:val="0F6A52E8"/>
    <w:rsid w:val="0F6F0AD3"/>
    <w:rsid w:val="0F6F3828"/>
    <w:rsid w:val="0F77374B"/>
    <w:rsid w:val="0F7D2B81"/>
    <w:rsid w:val="0F806F8F"/>
    <w:rsid w:val="0F8A063E"/>
    <w:rsid w:val="0F933B9D"/>
    <w:rsid w:val="0F9815A7"/>
    <w:rsid w:val="0FA62881"/>
    <w:rsid w:val="0FB76ED2"/>
    <w:rsid w:val="0FBD1328"/>
    <w:rsid w:val="0FC01934"/>
    <w:rsid w:val="0FC80A08"/>
    <w:rsid w:val="0FCC5B0A"/>
    <w:rsid w:val="0FD60CAE"/>
    <w:rsid w:val="0FE96914"/>
    <w:rsid w:val="0FED7751"/>
    <w:rsid w:val="0FFF7484"/>
    <w:rsid w:val="100E7A86"/>
    <w:rsid w:val="10404ED0"/>
    <w:rsid w:val="10411A39"/>
    <w:rsid w:val="105552F6"/>
    <w:rsid w:val="1061264F"/>
    <w:rsid w:val="10745257"/>
    <w:rsid w:val="107B7309"/>
    <w:rsid w:val="107F4782"/>
    <w:rsid w:val="108801FE"/>
    <w:rsid w:val="108C51BC"/>
    <w:rsid w:val="109322EA"/>
    <w:rsid w:val="109D3898"/>
    <w:rsid w:val="10AB3168"/>
    <w:rsid w:val="10B23BBE"/>
    <w:rsid w:val="10BE57C2"/>
    <w:rsid w:val="10CA0CF4"/>
    <w:rsid w:val="10D02003"/>
    <w:rsid w:val="10D25A3E"/>
    <w:rsid w:val="10D95F27"/>
    <w:rsid w:val="10E44077"/>
    <w:rsid w:val="10E6533D"/>
    <w:rsid w:val="10F33DE4"/>
    <w:rsid w:val="110A6221"/>
    <w:rsid w:val="110B59DC"/>
    <w:rsid w:val="1110721F"/>
    <w:rsid w:val="11296F8C"/>
    <w:rsid w:val="113B3B91"/>
    <w:rsid w:val="113C04CA"/>
    <w:rsid w:val="114354B3"/>
    <w:rsid w:val="11451C64"/>
    <w:rsid w:val="11523595"/>
    <w:rsid w:val="11644F53"/>
    <w:rsid w:val="116C4B3C"/>
    <w:rsid w:val="116E2656"/>
    <w:rsid w:val="117969B8"/>
    <w:rsid w:val="118F65CA"/>
    <w:rsid w:val="11901CA9"/>
    <w:rsid w:val="119717A9"/>
    <w:rsid w:val="119A25FB"/>
    <w:rsid w:val="119F737E"/>
    <w:rsid w:val="11C37065"/>
    <w:rsid w:val="11DC7273"/>
    <w:rsid w:val="11E15093"/>
    <w:rsid w:val="11EB4164"/>
    <w:rsid w:val="11F31572"/>
    <w:rsid w:val="11F65E12"/>
    <w:rsid w:val="11FA6367"/>
    <w:rsid w:val="11FE0707"/>
    <w:rsid w:val="1202054F"/>
    <w:rsid w:val="12091451"/>
    <w:rsid w:val="12153D70"/>
    <w:rsid w:val="121B51D2"/>
    <w:rsid w:val="122836A3"/>
    <w:rsid w:val="122C6462"/>
    <w:rsid w:val="12386C7D"/>
    <w:rsid w:val="12413D84"/>
    <w:rsid w:val="12491FBC"/>
    <w:rsid w:val="12525C2C"/>
    <w:rsid w:val="125515DD"/>
    <w:rsid w:val="125C13E7"/>
    <w:rsid w:val="125C5FFD"/>
    <w:rsid w:val="125F0F9A"/>
    <w:rsid w:val="12661DA1"/>
    <w:rsid w:val="1279663E"/>
    <w:rsid w:val="128A7F9E"/>
    <w:rsid w:val="12922164"/>
    <w:rsid w:val="129973FF"/>
    <w:rsid w:val="12C225EB"/>
    <w:rsid w:val="12DD1034"/>
    <w:rsid w:val="12DF0C70"/>
    <w:rsid w:val="12E24C1D"/>
    <w:rsid w:val="12ED5777"/>
    <w:rsid w:val="12EF558E"/>
    <w:rsid w:val="12F4104D"/>
    <w:rsid w:val="1300668D"/>
    <w:rsid w:val="13023DD4"/>
    <w:rsid w:val="13104153"/>
    <w:rsid w:val="13170F54"/>
    <w:rsid w:val="1322529A"/>
    <w:rsid w:val="132642DB"/>
    <w:rsid w:val="13286CF2"/>
    <w:rsid w:val="132A4707"/>
    <w:rsid w:val="132C7E6E"/>
    <w:rsid w:val="133373AB"/>
    <w:rsid w:val="13347445"/>
    <w:rsid w:val="13386A07"/>
    <w:rsid w:val="134152BC"/>
    <w:rsid w:val="13443073"/>
    <w:rsid w:val="13450095"/>
    <w:rsid w:val="13485FD2"/>
    <w:rsid w:val="134904D5"/>
    <w:rsid w:val="134F60CF"/>
    <w:rsid w:val="135441E5"/>
    <w:rsid w:val="135A66CC"/>
    <w:rsid w:val="1363372C"/>
    <w:rsid w:val="13681B91"/>
    <w:rsid w:val="1372191A"/>
    <w:rsid w:val="13792AAB"/>
    <w:rsid w:val="13797C1E"/>
    <w:rsid w:val="139857CC"/>
    <w:rsid w:val="13A57020"/>
    <w:rsid w:val="13B642FE"/>
    <w:rsid w:val="13C33B89"/>
    <w:rsid w:val="13DA623E"/>
    <w:rsid w:val="13DB2407"/>
    <w:rsid w:val="13E44641"/>
    <w:rsid w:val="13E60B64"/>
    <w:rsid w:val="13EE5846"/>
    <w:rsid w:val="13FC340E"/>
    <w:rsid w:val="13FF6092"/>
    <w:rsid w:val="140B3B68"/>
    <w:rsid w:val="140F67CE"/>
    <w:rsid w:val="14386063"/>
    <w:rsid w:val="14530672"/>
    <w:rsid w:val="148617B4"/>
    <w:rsid w:val="14885D40"/>
    <w:rsid w:val="148D6196"/>
    <w:rsid w:val="14A16D5C"/>
    <w:rsid w:val="14A56227"/>
    <w:rsid w:val="14A56F86"/>
    <w:rsid w:val="14AD0587"/>
    <w:rsid w:val="14B760A4"/>
    <w:rsid w:val="14B81FBA"/>
    <w:rsid w:val="14C8605D"/>
    <w:rsid w:val="14D445ED"/>
    <w:rsid w:val="14D838F1"/>
    <w:rsid w:val="14E508DF"/>
    <w:rsid w:val="14EC6C07"/>
    <w:rsid w:val="14F25730"/>
    <w:rsid w:val="15014209"/>
    <w:rsid w:val="15071525"/>
    <w:rsid w:val="151A600C"/>
    <w:rsid w:val="151E0B92"/>
    <w:rsid w:val="152022DA"/>
    <w:rsid w:val="15284DA2"/>
    <w:rsid w:val="153616D9"/>
    <w:rsid w:val="153D4FB6"/>
    <w:rsid w:val="15475173"/>
    <w:rsid w:val="15542864"/>
    <w:rsid w:val="155772E9"/>
    <w:rsid w:val="155D0922"/>
    <w:rsid w:val="15705453"/>
    <w:rsid w:val="15856EB3"/>
    <w:rsid w:val="158F5FA9"/>
    <w:rsid w:val="158F75F2"/>
    <w:rsid w:val="159D49D2"/>
    <w:rsid w:val="159E68AE"/>
    <w:rsid w:val="15A32ECE"/>
    <w:rsid w:val="15B16A70"/>
    <w:rsid w:val="15C4240C"/>
    <w:rsid w:val="15C53D11"/>
    <w:rsid w:val="15CD2026"/>
    <w:rsid w:val="15CF1273"/>
    <w:rsid w:val="15D10423"/>
    <w:rsid w:val="15D230AE"/>
    <w:rsid w:val="15D64516"/>
    <w:rsid w:val="15E92769"/>
    <w:rsid w:val="15EA6B02"/>
    <w:rsid w:val="16091C6D"/>
    <w:rsid w:val="160B0931"/>
    <w:rsid w:val="16116AAC"/>
    <w:rsid w:val="165453E4"/>
    <w:rsid w:val="166C04D7"/>
    <w:rsid w:val="16821E70"/>
    <w:rsid w:val="168B66A5"/>
    <w:rsid w:val="16930926"/>
    <w:rsid w:val="16931A68"/>
    <w:rsid w:val="16A01965"/>
    <w:rsid w:val="16BA2EA9"/>
    <w:rsid w:val="16D25BDF"/>
    <w:rsid w:val="16D51AB3"/>
    <w:rsid w:val="16D722BA"/>
    <w:rsid w:val="16D80CF4"/>
    <w:rsid w:val="16DE6645"/>
    <w:rsid w:val="16F05B80"/>
    <w:rsid w:val="16F62DB8"/>
    <w:rsid w:val="17145AF5"/>
    <w:rsid w:val="171A4BA4"/>
    <w:rsid w:val="172F4AF3"/>
    <w:rsid w:val="174111E0"/>
    <w:rsid w:val="174A787F"/>
    <w:rsid w:val="174C238C"/>
    <w:rsid w:val="17602BDE"/>
    <w:rsid w:val="176E0D39"/>
    <w:rsid w:val="177E5132"/>
    <w:rsid w:val="17805A58"/>
    <w:rsid w:val="1787646C"/>
    <w:rsid w:val="17887A97"/>
    <w:rsid w:val="178A1821"/>
    <w:rsid w:val="178D5E30"/>
    <w:rsid w:val="179C1092"/>
    <w:rsid w:val="17A11CA5"/>
    <w:rsid w:val="17B50508"/>
    <w:rsid w:val="17B8206A"/>
    <w:rsid w:val="17BA231B"/>
    <w:rsid w:val="17C7730A"/>
    <w:rsid w:val="17CB219D"/>
    <w:rsid w:val="17D66D1D"/>
    <w:rsid w:val="17E85A1C"/>
    <w:rsid w:val="17F12075"/>
    <w:rsid w:val="17F31F72"/>
    <w:rsid w:val="17F35881"/>
    <w:rsid w:val="18030C3E"/>
    <w:rsid w:val="1807460B"/>
    <w:rsid w:val="181773AB"/>
    <w:rsid w:val="18226016"/>
    <w:rsid w:val="182E5BC5"/>
    <w:rsid w:val="183F48C2"/>
    <w:rsid w:val="184B3BF4"/>
    <w:rsid w:val="184B645C"/>
    <w:rsid w:val="184D3CD7"/>
    <w:rsid w:val="18677676"/>
    <w:rsid w:val="187B26C2"/>
    <w:rsid w:val="18AC6C6D"/>
    <w:rsid w:val="18B5660E"/>
    <w:rsid w:val="18C328F7"/>
    <w:rsid w:val="18C42DD8"/>
    <w:rsid w:val="18C97144"/>
    <w:rsid w:val="18CF662D"/>
    <w:rsid w:val="18E13BCB"/>
    <w:rsid w:val="18EE6DA1"/>
    <w:rsid w:val="19017071"/>
    <w:rsid w:val="19101F85"/>
    <w:rsid w:val="19197904"/>
    <w:rsid w:val="193D3B2F"/>
    <w:rsid w:val="195226CE"/>
    <w:rsid w:val="195A3F3C"/>
    <w:rsid w:val="195D3058"/>
    <w:rsid w:val="196D7975"/>
    <w:rsid w:val="197762DD"/>
    <w:rsid w:val="19A058A0"/>
    <w:rsid w:val="19CF0730"/>
    <w:rsid w:val="19D45FC4"/>
    <w:rsid w:val="19D97F03"/>
    <w:rsid w:val="19EA54DE"/>
    <w:rsid w:val="19F2735A"/>
    <w:rsid w:val="1A0B70D5"/>
    <w:rsid w:val="1A3A37FD"/>
    <w:rsid w:val="1A3D3752"/>
    <w:rsid w:val="1A43009A"/>
    <w:rsid w:val="1A467B52"/>
    <w:rsid w:val="1A4C776A"/>
    <w:rsid w:val="1A846F04"/>
    <w:rsid w:val="1A8C208E"/>
    <w:rsid w:val="1A8E401E"/>
    <w:rsid w:val="1A9E1ECB"/>
    <w:rsid w:val="1AA057AF"/>
    <w:rsid w:val="1AA605B2"/>
    <w:rsid w:val="1AA93ACC"/>
    <w:rsid w:val="1ABA4287"/>
    <w:rsid w:val="1ABC2055"/>
    <w:rsid w:val="1AC56645"/>
    <w:rsid w:val="1AC65B4C"/>
    <w:rsid w:val="1AD259C9"/>
    <w:rsid w:val="1AD466E3"/>
    <w:rsid w:val="1AD67ADD"/>
    <w:rsid w:val="1AD75024"/>
    <w:rsid w:val="1AE6196C"/>
    <w:rsid w:val="1AFE63D7"/>
    <w:rsid w:val="1B032CF5"/>
    <w:rsid w:val="1B0500A4"/>
    <w:rsid w:val="1B093C76"/>
    <w:rsid w:val="1B18127E"/>
    <w:rsid w:val="1B220938"/>
    <w:rsid w:val="1B3845C6"/>
    <w:rsid w:val="1B4F3E9C"/>
    <w:rsid w:val="1B4F7AF7"/>
    <w:rsid w:val="1B6D7998"/>
    <w:rsid w:val="1B6F54BE"/>
    <w:rsid w:val="1B733EA8"/>
    <w:rsid w:val="1B7454F4"/>
    <w:rsid w:val="1B7B40D6"/>
    <w:rsid w:val="1B830544"/>
    <w:rsid w:val="1B8713AF"/>
    <w:rsid w:val="1B89014D"/>
    <w:rsid w:val="1B8A169D"/>
    <w:rsid w:val="1B9728CC"/>
    <w:rsid w:val="1B990A29"/>
    <w:rsid w:val="1BA4791B"/>
    <w:rsid w:val="1BA855FC"/>
    <w:rsid w:val="1BB2184F"/>
    <w:rsid w:val="1BBF10F7"/>
    <w:rsid w:val="1BC41C3D"/>
    <w:rsid w:val="1BDF0D04"/>
    <w:rsid w:val="1BE62183"/>
    <w:rsid w:val="1BF14125"/>
    <w:rsid w:val="1BF15A67"/>
    <w:rsid w:val="1BF4730F"/>
    <w:rsid w:val="1C0D2721"/>
    <w:rsid w:val="1C0F2336"/>
    <w:rsid w:val="1C116C23"/>
    <w:rsid w:val="1C147E56"/>
    <w:rsid w:val="1C1D008A"/>
    <w:rsid w:val="1C202C5C"/>
    <w:rsid w:val="1C273290"/>
    <w:rsid w:val="1C2E5D6C"/>
    <w:rsid w:val="1C350DB7"/>
    <w:rsid w:val="1C427076"/>
    <w:rsid w:val="1C56259E"/>
    <w:rsid w:val="1C5639D3"/>
    <w:rsid w:val="1C68140B"/>
    <w:rsid w:val="1C703A8A"/>
    <w:rsid w:val="1C710DAA"/>
    <w:rsid w:val="1C7164E0"/>
    <w:rsid w:val="1C72191C"/>
    <w:rsid w:val="1C934BA5"/>
    <w:rsid w:val="1C9E1819"/>
    <w:rsid w:val="1CCA0AEF"/>
    <w:rsid w:val="1CCA1B57"/>
    <w:rsid w:val="1CD87075"/>
    <w:rsid w:val="1CD97C5B"/>
    <w:rsid w:val="1CDD1FD0"/>
    <w:rsid w:val="1CE03DC3"/>
    <w:rsid w:val="1CEB3BF1"/>
    <w:rsid w:val="1CF35598"/>
    <w:rsid w:val="1CF638B4"/>
    <w:rsid w:val="1CFB03BB"/>
    <w:rsid w:val="1CFC6D83"/>
    <w:rsid w:val="1D070895"/>
    <w:rsid w:val="1D185F0D"/>
    <w:rsid w:val="1D1D0140"/>
    <w:rsid w:val="1D226F14"/>
    <w:rsid w:val="1D23178A"/>
    <w:rsid w:val="1D2336DB"/>
    <w:rsid w:val="1D277D9F"/>
    <w:rsid w:val="1D2C7B7F"/>
    <w:rsid w:val="1D33658B"/>
    <w:rsid w:val="1D4C578F"/>
    <w:rsid w:val="1D57445C"/>
    <w:rsid w:val="1D5D4AF2"/>
    <w:rsid w:val="1D5E09E0"/>
    <w:rsid w:val="1D5E567E"/>
    <w:rsid w:val="1D657B35"/>
    <w:rsid w:val="1D6A3577"/>
    <w:rsid w:val="1D816547"/>
    <w:rsid w:val="1D8272E3"/>
    <w:rsid w:val="1D8B21C4"/>
    <w:rsid w:val="1D8D3D80"/>
    <w:rsid w:val="1DA305A0"/>
    <w:rsid w:val="1DAA0D48"/>
    <w:rsid w:val="1DB46C93"/>
    <w:rsid w:val="1DC6434E"/>
    <w:rsid w:val="1DC92F66"/>
    <w:rsid w:val="1DD17793"/>
    <w:rsid w:val="1DE51857"/>
    <w:rsid w:val="1DF025ED"/>
    <w:rsid w:val="1E0C1274"/>
    <w:rsid w:val="1E3B1C80"/>
    <w:rsid w:val="1E43659E"/>
    <w:rsid w:val="1E572CEA"/>
    <w:rsid w:val="1E6A3F29"/>
    <w:rsid w:val="1E7B0C4D"/>
    <w:rsid w:val="1E8F1286"/>
    <w:rsid w:val="1E997640"/>
    <w:rsid w:val="1E9F0D9C"/>
    <w:rsid w:val="1EA55004"/>
    <w:rsid w:val="1EAA1DE5"/>
    <w:rsid w:val="1EAF6FEE"/>
    <w:rsid w:val="1EBC4C71"/>
    <w:rsid w:val="1EC41FC5"/>
    <w:rsid w:val="1EC43D73"/>
    <w:rsid w:val="1ECE5D54"/>
    <w:rsid w:val="1EE07672"/>
    <w:rsid w:val="1EED1809"/>
    <w:rsid w:val="1EF94F9A"/>
    <w:rsid w:val="1F052CAF"/>
    <w:rsid w:val="1F0A7C15"/>
    <w:rsid w:val="1F283E3A"/>
    <w:rsid w:val="1F291AAD"/>
    <w:rsid w:val="1F2B71A7"/>
    <w:rsid w:val="1F2F030A"/>
    <w:rsid w:val="1F3C1B5B"/>
    <w:rsid w:val="1F3F77D2"/>
    <w:rsid w:val="1F5C7802"/>
    <w:rsid w:val="1F6053DA"/>
    <w:rsid w:val="1F617814"/>
    <w:rsid w:val="1F6F4B6D"/>
    <w:rsid w:val="1F6F6DA4"/>
    <w:rsid w:val="1F7631EB"/>
    <w:rsid w:val="1F8F51E3"/>
    <w:rsid w:val="1FA36FD0"/>
    <w:rsid w:val="1FA865D3"/>
    <w:rsid w:val="1FAE696D"/>
    <w:rsid w:val="1FC33B6F"/>
    <w:rsid w:val="1FC56E7C"/>
    <w:rsid w:val="1FE04BDC"/>
    <w:rsid w:val="1FE11370"/>
    <w:rsid w:val="1FEE331A"/>
    <w:rsid w:val="1FFC34F8"/>
    <w:rsid w:val="200B2ECA"/>
    <w:rsid w:val="202A22FB"/>
    <w:rsid w:val="202B7A06"/>
    <w:rsid w:val="202E2AE8"/>
    <w:rsid w:val="203B4CC7"/>
    <w:rsid w:val="2040059A"/>
    <w:rsid w:val="204E02DA"/>
    <w:rsid w:val="2052763E"/>
    <w:rsid w:val="2053014B"/>
    <w:rsid w:val="20742009"/>
    <w:rsid w:val="20774C61"/>
    <w:rsid w:val="20823E59"/>
    <w:rsid w:val="209035F5"/>
    <w:rsid w:val="209546FC"/>
    <w:rsid w:val="20A30452"/>
    <w:rsid w:val="20A51F77"/>
    <w:rsid w:val="20A91472"/>
    <w:rsid w:val="20AE12C8"/>
    <w:rsid w:val="20BD701F"/>
    <w:rsid w:val="20C83EF4"/>
    <w:rsid w:val="20D53622"/>
    <w:rsid w:val="20F91841"/>
    <w:rsid w:val="21012421"/>
    <w:rsid w:val="21037289"/>
    <w:rsid w:val="210963B5"/>
    <w:rsid w:val="2137516E"/>
    <w:rsid w:val="21377B4B"/>
    <w:rsid w:val="21423675"/>
    <w:rsid w:val="217A696B"/>
    <w:rsid w:val="21954280"/>
    <w:rsid w:val="219A5CEB"/>
    <w:rsid w:val="21BC46EC"/>
    <w:rsid w:val="21C115EE"/>
    <w:rsid w:val="21CE7315"/>
    <w:rsid w:val="21D56297"/>
    <w:rsid w:val="21D7656B"/>
    <w:rsid w:val="21DD3EFE"/>
    <w:rsid w:val="21E8791D"/>
    <w:rsid w:val="21E90C36"/>
    <w:rsid w:val="21F94846"/>
    <w:rsid w:val="21FE759C"/>
    <w:rsid w:val="2204656B"/>
    <w:rsid w:val="221272CB"/>
    <w:rsid w:val="221718B9"/>
    <w:rsid w:val="221B66C0"/>
    <w:rsid w:val="22206A63"/>
    <w:rsid w:val="2221328A"/>
    <w:rsid w:val="22363654"/>
    <w:rsid w:val="22460693"/>
    <w:rsid w:val="22576B3F"/>
    <w:rsid w:val="22593F25"/>
    <w:rsid w:val="225A5B0B"/>
    <w:rsid w:val="225A6CD3"/>
    <w:rsid w:val="22630AA7"/>
    <w:rsid w:val="22761828"/>
    <w:rsid w:val="22813E0E"/>
    <w:rsid w:val="228E7279"/>
    <w:rsid w:val="22AB48DC"/>
    <w:rsid w:val="22B14328"/>
    <w:rsid w:val="22B448EC"/>
    <w:rsid w:val="22B62B07"/>
    <w:rsid w:val="22B96452"/>
    <w:rsid w:val="22BD0A56"/>
    <w:rsid w:val="22BD68A1"/>
    <w:rsid w:val="22C7151E"/>
    <w:rsid w:val="22CE67BE"/>
    <w:rsid w:val="22D2698C"/>
    <w:rsid w:val="22E15C5F"/>
    <w:rsid w:val="22F714B3"/>
    <w:rsid w:val="22F87FF0"/>
    <w:rsid w:val="22F95FB5"/>
    <w:rsid w:val="22FF2088"/>
    <w:rsid w:val="23030B9E"/>
    <w:rsid w:val="2309394D"/>
    <w:rsid w:val="230D53A5"/>
    <w:rsid w:val="231177E3"/>
    <w:rsid w:val="23163737"/>
    <w:rsid w:val="2318468D"/>
    <w:rsid w:val="231951C2"/>
    <w:rsid w:val="23353491"/>
    <w:rsid w:val="233A039F"/>
    <w:rsid w:val="234C0002"/>
    <w:rsid w:val="234E3C6D"/>
    <w:rsid w:val="234E6CC6"/>
    <w:rsid w:val="234F4C9C"/>
    <w:rsid w:val="2351194D"/>
    <w:rsid w:val="236D2C2B"/>
    <w:rsid w:val="2376663F"/>
    <w:rsid w:val="237D3833"/>
    <w:rsid w:val="23870AE9"/>
    <w:rsid w:val="23A65CED"/>
    <w:rsid w:val="23A823D1"/>
    <w:rsid w:val="23B15129"/>
    <w:rsid w:val="23B97F46"/>
    <w:rsid w:val="23BA33F5"/>
    <w:rsid w:val="23BC14BC"/>
    <w:rsid w:val="23CB5B8A"/>
    <w:rsid w:val="23D20DAA"/>
    <w:rsid w:val="23DF4DC4"/>
    <w:rsid w:val="23E463A4"/>
    <w:rsid w:val="23E57223"/>
    <w:rsid w:val="23EC5067"/>
    <w:rsid w:val="23F22689"/>
    <w:rsid w:val="23F90CF5"/>
    <w:rsid w:val="240550D2"/>
    <w:rsid w:val="240F38E1"/>
    <w:rsid w:val="2410716B"/>
    <w:rsid w:val="242D4D49"/>
    <w:rsid w:val="243C25FD"/>
    <w:rsid w:val="243E397A"/>
    <w:rsid w:val="24632715"/>
    <w:rsid w:val="246B6B26"/>
    <w:rsid w:val="248B4041"/>
    <w:rsid w:val="248E5974"/>
    <w:rsid w:val="249828C7"/>
    <w:rsid w:val="24C602B9"/>
    <w:rsid w:val="24CE358D"/>
    <w:rsid w:val="24D404C5"/>
    <w:rsid w:val="24DB5972"/>
    <w:rsid w:val="24E76B46"/>
    <w:rsid w:val="24E8585B"/>
    <w:rsid w:val="24EF49F9"/>
    <w:rsid w:val="24FA6740"/>
    <w:rsid w:val="25050C1D"/>
    <w:rsid w:val="25071E02"/>
    <w:rsid w:val="25244298"/>
    <w:rsid w:val="252E3785"/>
    <w:rsid w:val="253935BF"/>
    <w:rsid w:val="253C149E"/>
    <w:rsid w:val="25510D35"/>
    <w:rsid w:val="255434BD"/>
    <w:rsid w:val="255A418A"/>
    <w:rsid w:val="255F64FD"/>
    <w:rsid w:val="2576487B"/>
    <w:rsid w:val="257D5F89"/>
    <w:rsid w:val="25934282"/>
    <w:rsid w:val="25976C97"/>
    <w:rsid w:val="2598247A"/>
    <w:rsid w:val="259B1583"/>
    <w:rsid w:val="25AB4874"/>
    <w:rsid w:val="25B74631"/>
    <w:rsid w:val="25C34AFE"/>
    <w:rsid w:val="25C4241F"/>
    <w:rsid w:val="25D52E5F"/>
    <w:rsid w:val="26031AF6"/>
    <w:rsid w:val="260339BD"/>
    <w:rsid w:val="260D6264"/>
    <w:rsid w:val="261034C7"/>
    <w:rsid w:val="261171C5"/>
    <w:rsid w:val="26347A30"/>
    <w:rsid w:val="263A33A0"/>
    <w:rsid w:val="26402067"/>
    <w:rsid w:val="264104D9"/>
    <w:rsid w:val="26495DCA"/>
    <w:rsid w:val="264E0705"/>
    <w:rsid w:val="264F2B53"/>
    <w:rsid w:val="265209F5"/>
    <w:rsid w:val="26530E54"/>
    <w:rsid w:val="267B1898"/>
    <w:rsid w:val="26883E28"/>
    <w:rsid w:val="26984844"/>
    <w:rsid w:val="26A0447E"/>
    <w:rsid w:val="26BC16D6"/>
    <w:rsid w:val="26C55069"/>
    <w:rsid w:val="26EF1BA9"/>
    <w:rsid w:val="26F96584"/>
    <w:rsid w:val="271E6624"/>
    <w:rsid w:val="272351BE"/>
    <w:rsid w:val="272E6D03"/>
    <w:rsid w:val="27396992"/>
    <w:rsid w:val="274D12CE"/>
    <w:rsid w:val="275163A7"/>
    <w:rsid w:val="275B5C83"/>
    <w:rsid w:val="27676382"/>
    <w:rsid w:val="277772AB"/>
    <w:rsid w:val="278901EB"/>
    <w:rsid w:val="27937707"/>
    <w:rsid w:val="27965AD5"/>
    <w:rsid w:val="27AB4993"/>
    <w:rsid w:val="27C52AB7"/>
    <w:rsid w:val="27DC212D"/>
    <w:rsid w:val="27DE796C"/>
    <w:rsid w:val="27E46883"/>
    <w:rsid w:val="27E803E4"/>
    <w:rsid w:val="27E921AF"/>
    <w:rsid w:val="27FC087A"/>
    <w:rsid w:val="28017F16"/>
    <w:rsid w:val="28021DFE"/>
    <w:rsid w:val="280E01C4"/>
    <w:rsid w:val="281F7DA1"/>
    <w:rsid w:val="28243C24"/>
    <w:rsid w:val="283A32F8"/>
    <w:rsid w:val="28446D7D"/>
    <w:rsid w:val="284E04AC"/>
    <w:rsid w:val="28500BFF"/>
    <w:rsid w:val="28507DB4"/>
    <w:rsid w:val="2851615C"/>
    <w:rsid w:val="28557EB6"/>
    <w:rsid w:val="286975E2"/>
    <w:rsid w:val="28742846"/>
    <w:rsid w:val="28820C28"/>
    <w:rsid w:val="288D088A"/>
    <w:rsid w:val="2890550A"/>
    <w:rsid w:val="289D4EF6"/>
    <w:rsid w:val="28B9138D"/>
    <w:rsid w:val="28BB4FD8"/>
    <w:rsid w:val="28CD5843"/>
    <w:rsid w:val="28D85E6B"/>
    <w:rsid w:val="28DE38A3"/>
    <w:rsid w:val="28FA2941"/>
    <w:rsid w:val="29021A09"/>
    <w:rsid w:val="290654A6"/>
    <w:rsid w:val="290D4568"/>
    <w:rsid w:val="291420AC"/>
    <w:rsid w:val="2915767D"/>
    <w:rsid w:val="292F4FB5"/>
    <w:rsid w:val="29437F8A"/>
    <w:rsid w:val="29452F79"/>
    <w:rsid w:val="294D1082"/>
    <w:rsid w:val="2976429D"/>
    <w:rsid w:val="297B4BEE"/>
    <w:rsid w:val="297F5D2C"/>
    <w:rsid w:val="298458CF"/>
    <w:rsid w:val="299C2027"/>
    <w:rsid w:val="29A11DF2"/>
    <w:rsid w:val="29AC1FD3"/>
    <w:rsid w:val="29AE4B2F"/>
    <w:rsid w:val="29B04DA0"/>
    <w:rsid w:val="29B50E88"/>
    <w:rsid w:val="29B81FB3"/>
    <w:rsid w:val="29BA23BF"/>
    <w:rsid w:val="29BC31AC"/>
    <w:rsid w:val="29DA7A0F"/>
    <w:rsid w:val="29E93DBF"/>
    <w:rsid w:val="29EC2669"/>
    <w:rsid w:val="29ED7603"/>
    <w:rsid w:val="29FF7ECC"/>
    <w:rsid w:val="2A0565C0"/>
    <w:rsid w:val="2A0B0AA8"/>
    <w:rsid w:val="2A106A58"/>
    <w:rsid w:val="2A124D00"/>
    <w:rsid w:val="2A13215D"/>
    <w:rsid w:val="2A1A032E"/>
    <w:rsid w:val="2A222837"/>
    <w:rsid w:val="2A2F48D1"/>
    <w:rsid w:val="2A515A23"/>
    <w:rsid w:val="2A6B2143"/>
    <w:rsid w:val="2A846ADC"/>
    <w:rsid w:val="2A8645D2"/>
    <w:rsid w:val="2A8F172E"/>
    <w:rsid w:val="2AAE2654"/>
    <w:rsid w:val="2AB1692B"/>
    <w:rsid w:val="2AB32EED"/>
    <w:rsid w:val="2ABA07EE"/>
    <w:rsid w:val="2AC26D41"/>
    <w:rsid w:val="2AD05442"/>
    <w:rsid w:val="2AD12C50"/>
    <w:rsid w:val="2AD76BDC"/>
    <w:rsid w:val="2AD85810"/>
    <w:rsid w:val="2ADA1568"/>
    <w:rsid w:val="2ADA65BD"/>
    <w:rsid w:val="2ADC6028"/>
    <w:rsid w:val="2AE336D1"/>
    <w:rsid w:val="2AF5201C"/>
    <w:rsid w:val="2AFE356B"/>
    <w:rsid w:val="2B08148B"/>
    <w:rsid w:val="2B0951F6"/>
    <w:rsid w:val="2B0F1129"/>
    <w:rsid w:val="2B142A9B"/>
    <w:rsid w:val="2B271C3F"/>
    <w:rsid w:val="2B2977F8"/>
    <w:rsid w:val="2B361786"/>
    <w:rsid w:val="2B43617A"/>
    <w:rsid w:val="2B4F69EC"/>
    <w:rsid w:val="2B5717C8"/>
    <w:rsid w:val="2B5A4B47"/>
    <w:rsid w:val="2B5D3585"/>
    <w:rsid w:val="2B64041E"/>
    <w:rsid w:val="2B807975"/>
    <w:rsid w:val="2B924C92"/>
    <w:rsid w:val="2B9C710C"/>
    <w:rsid w:val="2BCA3692"/>
    <w:rsid w:val="2BD40084"/>
    <w:rsid w:val="2BE03F42"/>
    <w:rsid w:val="2BE75CA3"/>
    <w:rsid w:val="2BEF1A46"/>
    <w:rsid w:val="2BF0527A"/>
    <w:rsid w:val="2C004DAB"/>
    <w:rsid w:val="2C1335C0"/>
    <w:rsid w:val="2C150C7F"/>
    <w:rsid w:val="2C1931B5"/>
    <w:rsid w:val="2C215449"/>
    <w:rsid w:val="2C3B13EC"/>
    <w:rsid w:val="2C3D44DA"/>
    <w:rsid w:val="2C3F2D9E"/>
    <w:rsid w:val="2C47508C"/>
    <w:rsid w:val="2C486FBC"/>
    <w:rsid w:val="2C5A007D"/>
    <w:rsid w:val="2C5E71E4"/>
    <w:rsid w:val="2C6B631C"/>
    <w:rsid w:val="2C6E288A"/>
    <w:rsid w:val="2C7E5445"/>
    <w:rsid w:val="2C800633"/>
    <w:rsid w:val="2C814869"/>
    <w:rsid w:val="2C985439"/>
    <w:rsid w:val="2CA866A6"/>
    <w:rsid w:val="2CAD2408"/>
    <w:rsid w:val="2CB25431"/>
    <w:rsid w:val="2CBB43FD"/>
    <w:rsid w:val="2CBD2015"/>
    <w:rsid w:val="2CC5238E"/>
    <w:rsid w:val="2CE62BBF"/>
    <w:rsid w:val="2CF3037A"/>
    <w:rsid w:val="2CFB6871"/>
    <w:rsid w:val="2D070AE9"/>
    <w:rsid w:val="2D08278D"/>
    <w:rsid w:val="2D0E3489"/>
    <w:rsid w:val="2D1B0B08"/>
    <w:rsid w:val="2D23581F"/>
    <w:rsid w:val="2D270188"/>
    <w:rsid w:val="2D352EF4"/>
    <w:rsid w:val="2D540D25"/>
    <w:rsid w:val="2D5E2CCE"/>
    <w:rsid w:val="2D602E4A"/>
    <w:rsid w:val="2D887F43"/>
    <w:rsid w:val="2D894262"/>
    <w:rsid w:val="2D9122EB"/>
    <w:rsid w:val="2DAD5205"/>
    <w:rsid w:val="2DCB733E"/>
    <w:rsid w:val="2DD21E32"/>
    <w:rsid w:val="2DDE2331"/>
    <w:rsid w:val="2E087D1F"/>
    <w:rsid w:val="2E11073C"/>
    <w:rsid w:val="2E137A29"/>
    <w:rsid w:val="2E295518"/>
    <w:rsid w:val="2E2C594D"/>
    <w:rsid w:val="2E317220"/>
    <w:rsid w:val="2E6557D8"/>
    <w:rsid w:val="2E700033"/>
    <w:rsid w:val="2E7909D1"/>
    <w:rsid w:val="2E866DE4"/>
    <w:rsid w:val="2E8F233A"/>
    <w:rsid w:val="2E900C93"/>
    <w:rsid w:val="2EA469BE"/>
    <w:rsid w:val="2ED61137"/>
    <w:rsid w:val="2EDD31D4"/>
    <w:rsid w:val="2EF7383B"/>
    <w:rsid w:val="2EF94D95"/>
    <w:rsid w:val="2F013C21"/>
    <w:rsid w:val="2F0A07D0"/>
    <w:rsid w:val="2F0B75CD"/>
    <w:rsid w:val="2F0F2A14"/>
    <w:rsid w:val="2F327CBA"/>
    <w:rsid w:val="2F3D0AB0"/>
    <w:rsid w:val="2F3F2DA3"/>
    <w:rsid w:val="2F453963"/>
    <w:rsid w:val="2F477F77"/>
    <w:rsid w:val="2F4A72C4"/>
    <w:rsid w:val="2F51250B"/>
    <w:rsid w:val="2F54553C"/>
    <w:rsid w:val="2F5B3718"/>
    <w:rsid w:val="2F600347"/>
    <w:rsid w:val="2F666599"/>
    <w:rsid w:val="2F772D64"/>
    <w:rsid w:val="2F7A4822"/>
    <w:rsid w:val="2F821EB0"/>
    <w:rsid w:val="2F880BA3"/>
    <w:rsid w:val="2F9037FD"/>
    <w:rsid w:val="2F917CA1"/>
    <w:rsid w:val="2F990146"/>
    <w:rsid w:val="2F9A6B8D"/>
    <w:rsid w:val="2F9C65D9"/>
    <w:rsid w:val="2FAB0637"/>
    <w:rsid w:val="2FAE0EED"/>
    <w:rsid w:val="2FB249F0"/>
    <w:rsid w:val="2FC227E3"/>
    <w:rsid w:val="2FCA419D"/>
    <w:rsid w:val="2FD001CF"/>
    <w:rsid w:val="2FD32C93"/>
    <w:rsid w:val="2FE14425"/>
    <w:rsid w:val="2FE36023"/>
    <w:rsid w:val="2FEC5D68"/>
    <w:rsid w:val="2FEE288E"/>
    <w:rsid w:val="2FEE44B0"/>
    <w:rsid w:val="2FF5684B"/>
    <w:rsid w:val="300D3C53"/>
    <w:rsid w:val="301F7519"/>
    <w:rsid w:val="30220902"/>
    <w:rsid w:val="303C5979"/>
    <w:rsid w:val="306654C0"/>
    <w:rsid w:val="306D517F"/>
    <w:rsid w:val="308344C2"/>
    <w:rsid w:val="308B2942"/>
    <w:rsid w:val="309D405E"/>
    <w:rsid w:val="30A654E7"/>
    <w:rsid w:val="30AD6846"/>
    <w:rsid w:val="30AD751E"/>
    <w:rsid w:val="30BB150B"/>
    <w:rsid w:val="30BF46A5"/>
    <w:rsid w:val="30C154DB"/>
    <w:rsid w:val="30C454D7"/>
    <w:rsid w:val="30DC3BEF"/>
    <w:rsid w:val="30DC72E9"/>
    <w:rsid w:val="30E42053"/>
    <w:rsid w:val="31005589"/>
    <w:rsid w:val="310A2FDF"/>
    <w:rsid w:val="310C70CC"/>
    <w:rsid w:val="31175701"/>
    <w:rsid w:val="311D256F"/>
    <w:rsid w:val="312D68D0"/>
    <w:rsid w:val="31341182"/>
    <w:rsid w:val="3136789B"/>
    <w:rsid w:val="313A2803"/>
    <w:rsid w:val="313C6D8C"/>
    <w:rsid w:val="313E444B"/>
    <w:rsid w:val="31424A7A"/>
    <w:rsid w:val="314E1551"/>
    <w:rsid w:val="316306A9"/>
    <w:rsid w:val="3167486D"/>
    <w:rsid w:val="316A542B"/>
    <w:rsid w:val="31725620"/>
    <w:rsid w:val="317559E7"/>
    <w:rsid w:val="3177011A"/>
    <w:rsid w:val="317936C6"/>
    <w:rsid w:val="317A0012"/>
    <w:rsid w:val="31827A64"/>
    <w:rsid w:val="319D4103"/>
    <w:rsid w:val="31A36B7D"/>
    <w:rsid w:val="31AD27EB"/>
    <w:rsid w:val="31B70371"/>
    <w:rsid w:val="31C046F5"/>
    <w:rsid w:val="31E26225"/>
    <w:rsid w:val="32023FDC"/>
    <w:rsid w:val="320E4D31"/>
    <w:rsid w:val="321A0399"/>
    <w:rsid w:val="32314BCC"/>
    <w:rsid w:val="32465EA4"/>
    <w:rsid w:val="32475445"/>
    <w:rsid w:val="32477B28"/>
    <w:rsid w:val="3249128D"/>
    <w:rsid w:val="324D2E24"/>
    <w:rsid w:val="325C2809"/>
    <w:rsid w:val="325D3AFD"/>
    <w:rsid w:val="325E7E87"/>
    <w:rsid w:val="3268280F"/>
    <w:rsid w:val="32777009"/>
    <w:rsid w:val="327D2BAF"/>
    <w:rsid w:val="32805DAB"/>
    <w:rsid w:val="32813C78"/>
    <w:rsid w:val="32822FB2"/>
    <w:rsid w:val="32971055"/>
    <w:rsid w:val="329A4866"/>
    <w:rsid w:val="329C0536"/>
    <w:rsid w:val="329D4BAF"/>
    <w:rsid w:val="32CB4826"/>
    <w:rsid w:val="32F37AE8"/>
    <w:rsid w:val="32FA4D55"/>
    <w:rsid w:val="33032B79"/>
    <w:rsid w:val="330540CC"/>
    <w:rsid w:val="330A18F5"/>
    <w:rsid w:val="332A0C75"/>
    <w:rsid w:val="332A1E96"/>
    <w:rsid w:val="332B2741"/>
    <w:rsid w:val="3346436C"/>
    <w:rsid w:val="33570405"/>
    <w:rsid w:val="335A5A73"/>
    <w:rsid w:val="3367044D"/>
    <w:rsid w:val="338A3C97"/>
    <w:rsid w:val="33980910"/>
    <w:rsid w:val="339A6D9D"/>
    <w:rsid w:val="33A225A8"/>
    <w:rsid w:val="33A50A89"/>
    <w:rsid w:val="33A871B2"/>
    <w:rsid w:val="33AF3674"/>
    <w:rsid w:val="33B329E9"/>
    <w:rsid w:val="33B406C0"/>
    <w:rsid w:val="33B64FAC"/>
    <w:rsid w:val="33B977C6"/>
    <w:rsid w:val="33C726FE"/>
    <w:rsid w:val="33C84FAC"/>
    <w:rsid w:val="33C85836"/>
    <w:rsid w:val="33CD06BA"/>
    <w:rsid w:val="33D03976"/>
    <w:rsid w:val="33D05FC1"/>
    <w:rsid w:val="33DE4FFA"/>
    <w:rsid w:val="33E055C7"/>
    <w:rsid w:val="33FF62A6"/>
    <w:rsid w:val="342348FF"/>
    <w:rsid w:val="342556E9"/>
    <w:rsid w:val="342622E6"/>
    <w:rsid w:val="342B7F5A"/>
    <w:rsid w:val="342D6CBE"/>
    <w:rsid w:val="34347866"/>
    <w:rsid w:val="343B6022"/>
    <w:rsid w:val="3442160C"/>
    <w:rsid w:val="34502843"/>
    <w:rsid w:val="346F2601"/>
    <w:rsid w:val="34772EED"/>
    <w:rsid w:val="347E4E8D"/>
    <w:rsid w:val="348B19C1"/>
    <w:rsid w:val="34960105"/>
    <w:rsid w:val="349A13A6"/>
    <w:rsid w:val="34AC732B"/>
    <w:rsid w:val="34BB6CC5"/>
    <w:rsid w:val="34D30767"/>
    <w:rsid w:val="34EA39B0"/>
    <w:rsid w:val="35104DBF"/>
    <w:rsid w:val="3510584D"/>
    <w:rsid w:val="351A5B93"/>
    <w:rsid w:val="35472969"/>
    <w:rsid w:val="35492DCC"/>
    <w:rsid w:val="35550C3A"/>
    <w:rsid w:val="356440D0"/>
    <w:rsid w:val="357058E7"/>
    <w:rsid w:val="357D20E3"/>
    <w:rsid w:val="357D4D18"/>
    <w:rsid w:val="358022D3"/>
    <w:rsid w:val="358722A3"/>
    <w:rsid w:val="358833F4"/>
    <w:rsid w:val="358B4007"/>
    <w:rsid w:val="359C10B5"/>
    <w:rsid w:val="35B71BA5"/>
    <w:rsid w:val="35BF12A6"/>
    <w:rsid w:val="35C31C2B"/>
    <w:rsid w:val="35C7497F"/>
    <w:rsid w:val="35CB50DD"/>
    <w:rsid w:val="35CD4651"/>
    <w:rsid w:val="35D115D2"/>
    <w:rsid w:val="35E30B2B"/>
    <w:rsid w:val="35F678FA"/>
    <w:rsid w:val="35FF348B"/>
    <w:rsid w:val="361E6007"/>
    <w:rsid w:val="3625693E"/>
    <w:rsid w:val="362B2A2B"/>
    <w:rsid w:val="362D120D"/>
    <w:rsid w:val="363562D1"/>
    <w:rsid w:val="3648709B"/>
    <w:rsid w:val="36574835"/>
    <w:rsid w:val="36610C4D"/>
    <w:rsid w:val="366456DF"/>
    <w:rsid w:val="36793FF2"/>
    <w:rsid w:val="367C7B72"/>
    <w:rsid w:val="367F407C"/>
    <w:rsid w:val="36852794"/>
    <w:rsid w:val="3699743B"/>
    <w:rsid w:val="36AC4B90"/>
    <w:rsid w:val="36B00B50"/>
    <w:rsid w:val="36B63806"/>
    <w:rsid w:val="36B767C7"/>
    <w:rsid w:val="36CA3B40"/>
    <w:rsid w:val="36E3065E"/>
    <w:rsid w:val="36EC3807"/>
    <w:rsid w:val="36F212D3"/>
    <w:rsid w:val="36F87E6C"/>
    <w:rsid w:val="36FC0E73"/>
    <w:rsid w:val="370D5126"/>
    <w:rsid w:val="37177801"/>
    <w:rsid w:val="371816ED"/>
    <w:rsid w:val="37181DFF"/>
    <w:rsid w:val="371D31FA"/>
    <w:rsid w:val="372666A5"/>
    <w:rsid w:val="37274E2C"/>
    <w:rsid w:val="37287BD8"/>
    <w:rsid w:val="37414E11"/>
    <w:rsid w:val="37485BF5"/>
    <w:rsid w:val="375B7D08"/>
    <w:rsid w:val="37651FA4"/>
    <w:rsid w:val="376807F2"/>
    <w:rsid w:val="376D78B9"/>
    <w:rsid w:val="377257EA"/>
    <w:rsid w:val="377F14BA"/>
    <w:rsid w:val="37CC3F57"/>
    <w:rsid w:val="37D623D4"/>
    <w:rsid w:val="37D74D84"/>
    <w:rsid w:val="37DA3D45"/>
    <w:rsid w:val="37E11750"/>
    <w:rsid w:val="37E75D7D"/>
    <w:rsid w:val="37EB2910"/>
    <w:rsid w:val="37EC2017"/>
    <w:rsid w:val="37EC740F"/>
    <w:rsid w:val="37F10BBC"/>
    <w:rsid w:val="38025773"/>
    <w:rsid w:val="3805122C"/>
    <w:rsid w:val="382838F6"/>
    <w:rsid w:val="38300006"/>
    <w:rsid w:val="38305B7D"/>
    <w:rsid w:val="3845608F"/>
    <w:rsid w:val="386F6C6B"/>
    <w:rsid w:val="3888103B"/>
    <w:rsid w:val="388D6DF5"/>
    <w:rsid w:val="389C19D0"/>
    <w:rsid w:val="38A465D0"/>
    <w:rsid w:val="38A60B2F"/>
    <w:rsid w:val="38B209E8"/>
    <w:rsid w:val="38B33EBC"/>
    <w:rsid w:val="38BC0519"/>
    <w:rsid w:val="38BE6E89"/>
    <w:rsid w:val="38C2612C"/>
    <w:rsid w:val="38C77722"/>
    <w:rsid w:val="38C830A8"/>
    <w:rsid w:val="38CD02A2"/>
    <w:rsid w:val="38CE62A6"/>
    <w:rsid w:val="38D94467"/>
    <w:rsid w:val="38FA6A97"/>
    <w:rsid w:val="38FE3794"/>
    <w:rsid w:val="3915058B"/>
    <w:rsid w:val="391C321A"/>
    <w:rsid w:val="392D4840"/>
    <w:rsid w:val="393939F8"/>
    <w:rsid w:val="39401A0E"/>
    <w:rsid w:val="39527CFC"/>
    <w:rsid w:val="395470AD"/>
    <w:rsid w:val="39601207"/>
    <w:rsid w:val="39611C63"/>
    <w:rsid w:val="396160B9"/>
    <w:rsid w:val="397877DC"/>
    <w:rsid w:val="397D3520"/>
    <w:rsid w:val="398F4C02"/>
    <w:rsid w:val="399B2689"/>
    <w:rsid w:val="399B4562"/>
    <w:rsid w:val="399F0166"/>
    <w:rsid w:val="39A34D71"/>
    <w:rsid w:val="39A95F66"/>
    <w:rsid w:val="39AC0014"/>
    <w:rsid w:val="39B60A89"/>
    <w:rsid w:val="39B66FC1"/>
    <w:rsid w:val="39C02E36"/>
    <w:rsid w:val="39D408F7"/>
    <w:rsid w:val="39D677D0"/>
    <w:rsid w:val="39EB1526"/>
    <w:rsid w:val="39FA28E7"/>
    <w:rsid w:val="39FA78AE"/>
    <w:rsid w:val="3A0D5D10"/>
    <w:rsid w:val="3A121628"/>
    <w:rsid w:val="3A1574DB"/>
    <w:rsid w:val="3A241469"/>
    <w:rsid w:val="3A327127"/>
    <w:rsid w:val="3A35391F"/>
    <w:rsid w:val="3A44240F"/>
    <w:rsid w:val="3A536795"/>
    <w:rsid w:val="3A60099C"/>
    <w:rsid w:val="3A680EAA"/>
    <w:rsid w:val="3A712910"/>
    <w:rsid w:val="3A7B57D6"/>
    <w:rsid w:val="3A90438A"/>
    <w:rsid w:val="3A93317B"/>
    <w:rsid w:val="3A9E4249"/>
    <w:rsid w:val="3AB01D55"/>
    <w:rsid w:val="3AB46B80"/>
    <w:rsid w:val="3ABA7C45"/>
    <w:rsid w:val="3AF16A37"/>
    <w:rsid w:val="3AF46D9D"/>
    <w:rsid w:val="3AF73B6D"/>
    <w:rsid w:val="3B015372"/>
    <w:rsid w:val="3B037E46"/>
    <w:rsid w:val="3B0B4ACF"/>
    <w:rsid w:val="3B0F53AB"/>
    <w:rsid w:val="3B177340"/>
    <w:rsid w:val="3B294AF6"/>
    <w:rsid w:val="3B2B1AD2"/>
    <w:rsid w:val="3B2C560A"/>
    <w:rsid w:val="3B2D6552"/>
    <w:rsid w:val="3B37195D"/>
    <w:rsid w:val="3B3964DF"/>
    <w:rsid w:val="3B3E3883"/>
    <w:rsid w:val="3B493FA6"/>
    <w:rsid w:val="3B505004"/>
    <w:rsid w:val="3B6001BC"/>
    <w:rsid w:val="3B622A20"/>
    <w:rsid w:val="3B712735"/>
    <w:rsid w:val="3B7E687B"/>
    <w:rsid w:val="3B7F6767"/>
    <w:rsid w:val="3B834CD0"/>
    <w:rsid w:val="3B886915"/>
    <w:rsid w:val="3B895220"/>
    <w:rsid w:val="3B9711DF"/>
    <w:rsid w:val="3BA41E1A"/>
    <w:rsid w:val="3BA42B0A"/>
    <w:rsid w:val="3BAC438C"/>
    <w:rsid w:val="3BB32EC5"/>
    <w:rsid w:val="3BB84807"/>
    <w:rsid w:val="3BC20277"/>
    <w:rsid w:val="3BC30375"/>
    <w:rsid w:val="3BCD3155"/>
    <w:rsid w:val="3BD57167"/>
    <w:rsid w:val="3BE63123"/>
    <w:rsid w:val="3BE7155A"/>
    <w:rsid w:val="3C117DE1"/>
    <w:rsid w:val="3C14447E"/>
    <w:rsid w:val="3C2643BB"/>
    <w:rsid w:val="3C28671D"/>
    <w:rsid w:val="3C317E9A"/>
    <w:rsid w:val="3C363DF0"/>
    <w:rsid w:val="3C4B753C"/>
    <w:rsid w:val="3C4F5E74"/>
    <w:rsid w:val="3C680211"/>
    <w:rsid w:val="3C6A60A3"/>
    <w:rsid w:val="3C7767FA"/>
    <w:rsid w:val="3C7901E5"/>
    <w:rsid w:val="3C8B6290"/>
    <w:rsid w:val="3C92730B"/>
    <w:rsid w:val="3C990195"/>
    <w:rsid w:val="3C9D7AE6"/>
    <w:rsid w:val="3CA07775"/>
    <w:rsid w:val="3CAA6B58"/>
    <w:rsid w:val="3CB07B08"/>
    <w:rsid w:val="3CB11E19"/>
    <w:rsid w:val="3CB861A5"/>
    <w:rsid w:val="3CCB49FE"/>
    <w:rsid w:val="3CCF6F7B"/>
    <w:rsid w:val="3CD0295C"/>
    <w:rsid w:val="3CD12613"/>
    <w:rsid w:val="3CDC217A"/>
    <w:rsid w:val="3CDC6D8F"/>
    <w:rsid w:val="3CE360EE"/>
    <w:rsid w:val="3CF6604A"/>
    <w:rsid w:val="3D1001DD"/>
    <w:rsid w:val="3D10091D"/>
    <w:rsid w:val="3D3D6D72"/>
    <w:rsid w:val="3D4129FD"/>
    <w:rsid w:val="3D4B3FFA"/>
    <w:rsid w:val="3D575301"/>
    <w:rsid w:val="3D5F0BEB"/>
    <w:rsid w:val="3D643635"/>
    <w:rsid w:val="3D65263E"/>
    <w:rsid w:val="3D6A7A9F"/>
    <w:rsid w:val="3D74192B"/>
    <w:rsid w:val="3D793FB6"/>
    <w:rsid w:val="3D92486A"/>
    <w:rsid w:val="3D926B02"/>
    <w:rsid w:val="3D9F2CCD"/>
    <w:rsid w:val="3DA709A3"/>
    <w:rsid w:val="3DAA0180"/>
    <w:rsid w:val="3DAE4339"/>
    <w:rsid w:val="3DB25CC0"/>
    <w:rsid w:val="3DB75850"/>
    <w:rsid w:val="3DCE3E6E"/>
    <w:rsid w:val="3DE3168E"/>
    <w:rsid w:val="3DE74BA7"/>
    <w:rsid w:val="3DF81766"/>
    <w:rsid w:val="3DFF4891"/>
    <w:rsid w:val="3E1D03AE"/>
    <w:rsid w:val="3E24301B"/>
    <w:rsid w:val="3E247F32"/>
    <w:rsid w:val="3E2E5E0B"/>
    <w:rsid w:val="3E3D2DA2"/>
    <w:rsid w:val="3E446845"/>
    <w:rsid w:val="3E452B46"/>
    <w:rsid w:val="3E483C21"/>
    <w:rsid w:val="3E6049E4"/>
    <w:rsid w:val="3E630B30"/>
    <w:rsid w:val="3E6C2AF7"/>
    <w:rsid w:val="3E6F7647"/>
    <w:rsid w:val="3E7734C2"/>
    <w:rsid w:val="3E7A63D5"/>
    <w:rsid w:val="3E8239BF"/>
    <w:rsid w:val="3E894239"/>
    <w:rsid w:val="3E8E0762"/>
    <w:rsid w:val="3E9A366A"/>
    <w:rsid w:val="3EA22E6A"/>
    <w:rsid w:val="3EA572CE"/>
    <w:rsid w:val="3EAB5CC8"/>
    <w:rsid w:val="3EAF7FB6"/>
    <w:rsid w:val="3EC10560"/>
    <w:rsid w:val="3EC60179"/>
    <w:rsid w:val="3EC674D6"/>
    <w:rsid w:val="3ECA3564"/>
    <w:rsid w:val="3ED43F4B"/>
    <w:rsid w:val="3EDF34C9"/>
    <w:rsid w:val="3EEF0B34"/>
    <w:rsid w:val="3F070002"/>
    <w:rsid w:val="3F125893"/>
    <w:rsid w:val="3F13094F"/>
    <w:rsid w:val="3F174A2A"/>
    <w:rsid w:val="3F204E92"/>
    <w:rsid w:val="3F204F2F"/>
    <w:rsid w:val="3F213568"/>
    <w:rsid w:val="3F234C5B"/>
    <w:rsid w:val="3F2D2E17"/>
    <w:rsid w:val="3F3577A5"/>
    <w:rsid w:val="3F39116B"/>
    <w:rsid w:val="3F475259"/>
    <w:rsid w:val="3F4A102B"/>
    <w:rsid w:val="3F7153F9"/>
    <w:rsid w:val="3F785271"/>
    <w:rsid w:val="3F7956BF"/>
    <w:rsid w:val="3F7B5B7C"/>
    <w:rsid w:val="3F8207BF"/>
    <w:rsid w:val="3F8E7072"/>
    <w:rsid w:val="3F901669"/>
    <w:rsid w:val="3F9A1302"/>
    <w:rsid w:val="3F9B71C8"/>
    <w:rsid w:val="3F9F7C9D"/>
    <w:rsid w:val="3FB03BBC"/>
    <w:rsid w:val="3FB115FC"/>
    <w:rsid w:val="3FD066F6"/>
    <w:rsid w:val="3FDC3788"/>
    <w:rsid w:val="3FE71217"/>
    <w:rsid w:val="3FEA2A1D"/>
    <w:rsid w:val="3FEB6F5A"/>
    <w:rsid w:val="3FF26D47"/>
    <w:rsid w:val="3FFB3D9B"/>
    <w:rsid w:val="40004160"/>
    <w:rsid w:val="400A5CB5"/>
    <w:rsid w:val="401272A7"/>
    <w:rsid w:val="40206ACC"/>
    <w:rsid w:val="402666EA"/>
    <w:rsid w:val="40386453"/>
    <w:rsid w:val="40387CC5"/>
    <w:rsid w:val="403E4A78"/>
    <w:rsid w:val="40401A99"/>
    <w:rsid w:val="4052009C"/>
    <w:rsid w:val="405763F7"/>
    <w:rsid w:val="40595CDD"/>
    <w:rsid w:val="4062353F"/>
    <w:rsid w:val="406A15D0"/>
    <w:rsid w:val="4075197C"/>
    <w:rsid w:val="407F7A51"/>
    <w:rsid w:val="40842F0A"/>
    <w:rsid w:val="409607D4"/>
    <w:rsid w:val="409F1DC2"/>
    <w:rsid w:val="40A57279"/>
    <w:rsid w:val="40AE4E83"/>
    <w:rsid w:val="40BD0A2B"/>
    <w:rsid w:val="40C33EFA"/>
    <w:rsid w:val="40C43CEA"/>
    <w:rsid w:val="40E56101"/>
    <w:rsid w:val="40EF19B9"/>
    <w:rsid w:val="40F40090"/>
    <w:rsid w:val="40F416CE"/>
    <w:rsid w:val="40F810A7"/>
    <w:rsid w:val="40FF19EB"/>
    <w:rsid w:val="410743B2"/>
    <w:rsid w:val="41136502"/>
    <w:rsid w:val="4120173D"/>
    <w:rsid w:val="413927EA"/>
    <w:rsid w:val="413A6613"/>
    <w:rsid w:val="413C34CD"/>
    <w:rsid w:val="415068B8"/>
    <w:rsid w:val="41516F1C"/>
    <w:rsid w:val="415D5486"/>
    <w:rsid w:val="415E4902"/>
    <w:rsid w:val="4177728E"/>
    <w:rsid w:val="41855701"/>
    <w:rsid w:val="41887E5B"/>
    <w:rsid w:val="418F6099"/>
    <w:rsid w:val="41B65051"/>
    <w:rsid w:val="41BE244C"/>
    <w:rsid w:val="41C2213C"/>
    <w:rsid w:val="41CE0B02"/>
    <w:rsid w:val="41E65A8F"/>
    <w:rsid w:val="41FD1B04"/>
    <w:rsid w:val="41FF0120"/>
    <w:rsid w:val="420279B8"/>
    <w:rsid w:val="420E7840"/>
    <w:rsid w:val="422C11B0"/>
    <w:rsid w:val="4230596C"/>
    <w:rsid w:val="423F6BD9"/>
    <w:rsid w:val="424465D9"/>
    <w:rsid w:val="425222CF"/>
    <w:rsid w:val="42544FA7"/>
    <w:rsid w:val="42660B19"/>
    <w:rsid w:val="42675EC1"/>
    <w:rsid w:val="42724059"/>
    <w:rsid w:val="427C10C1"/>
    <w:rsid w:val="428E48A7"/>
    <w:rsid w:val="429155B9"/>
    <w:rsid w:val="42917AFB"/>
    <w:rsid w:val="42974141"/>
    <w:rsid w:val="42A06BD5"/>
    <w:rsid w:val="42A87644"/>
    <w:rsid w:val="42AC207C"/>
    <w:rsid w:val="42AC6956"/>
    <w:rsid w:val="42B86E9B"/>
    <w:rsid w:val="42C0167C"/>
    <w:rsid w:val="42DE533D"/>
    <w:rsid w:val="42E3660E"/>
    <w:rsid w:val="42E97700"/>
    <w:rsid w:val="43000492"/>
    <w:rsid w:val="430F2F5F"/>
    <w:rsid w:val="431120F7"/>
    <w:rsid w:val="43231314"/>
    <w:rsid w:val="432C71AD"/>
    <w:rsid w:val="4340198D"/>
    <w:rsid w:val="43547090"/>
    <w:rsid w:val="43555421"/>
    <w:rsid w:val="435A54A7"/>
    <w:rsid w:val="4393465C"/>
    <w:rsid w:val="43A6648F"/>
    <w:rsid w:val="43A762E2"/>
    <w:rsid w:val="43BB7B79"/>
    <w:rsid w:val="43C107C5"/>
    <w:rsid w:val="43C36E9D"/>
    <w:rsid w:val="43CC2BFE"/>
    <w:rsid w:val="43CD6976"/>
    <w:rsid w:val="43CF243C"/>
    <w:rsid w:val="43D81B6F"/>
    <w:rsid w:val="43DF6DB7"/>
    <w:rsid w:val="43E10BDB"/>
    <w:rsid w:val="43EB3A2C"/>
    <w:rsid w:val="43F96FF0"/>
    <w:rsid w:val="43FC2DEC"/>
    <w:rsid w:val="43FC685F"/>
    <w:rsid w:val="44000901"/>
    <w:rsid w:val="44017056"/>
    <w:rsid w:val="44097E33"/>
    <w:rsid w:val="44154E5C"/>
    <w:rsid w:val="4416031D"/>
    <w:rsid w:val="4418612F"/>
    <w:rsid w:val="442813D1"/>
    <w:rsid w:val="443772AD"/>
    <w:rsid w:val="443A4527"/>
    <w:rsid w:val="443D3AFC"/>
    <w:rsid w:val="44493BE3"/>
    <w:rsid w:val="445769C9"/>
    <w:rsid w:val="445E4402"/>
    <w:rsid w:val="4461072D"/>
    <w:rsid w:val="44625310"/>
    <w:rsid w:val="44633ED8"/>
    <w:rsid w:val="44686AE0"/>
    <w:rsid w:val="44736BA9"/>
    <w:rsid w:val="44784B34"/>
    <w:rsid w:val="44832336"/>
    <w:rsid w:val="448B35D4"/>
    <w:rsid w:val="44961818"/>
    <w:rsid w:val="449A2CFC"/>
    <w:rsid w:val="44A97A30"/>
    <w:rsid w:val="44B926D0"/>
    <w:rsid w:val="44BA61A4"/>
    <w:rsid w:val="44D10FD9"/>
    <w:rsid w:val="44D54D0E"/>
    <w:rsid w:val="44D72302"/>
    <w:rsid w:val="44DC2399"/>
    <w:rsid w:val="44F67C90"/>
    <w:rsid w:val="44FB0856"/>
    <w:rsid w:val="44FB3387"/>
    <w:rsid w:val="44FF17EC"/>
    <w:rsid w:val="450872D7"/>
    <w:rsid w:val="45353666"/>
    <w:rsid w:val="45374FFC"/>
    <w:rsid w:val="453A417E"/>
    <w:rsid w:val="453C00E3"/>
    <w:rsid w:val="45421F21"/>
    <w:rsid w:val="45482DB2"/>
    <w:rsid w:val="455434EC"/>
    <w:rsid w:val="456C486D"/>
    <w:rsid w:val="457C0EFB"/>
    <w:rsid w:val="45807520"/>
    <w:rsid w:val="45864F2A"/>
    <w:rsid w:val="4588093E"/>
    <w:rsid w:val="458F50F0"/>
    <w:rsid w:val="45905EAD"/>
    <w:rsid w:val="45990830"/>
    <w:rsid w:val="459B48F8"/>
    <w:rsid w:val="45A261D5"/>
    <w:rsid w:val="45A34A16"/>
    <w:rsid w:val="45A75078"/>
    <w:rsid w:val="45C016CF"/>
    <w:rsid w:val="45C36283"/>
    <w:rsid w:val="45DE39BF"/>
    <w:rsid w:val="45E74D31"/>
    <w:rsid w:val="45ED2BBB"/>
    <w:rsid w:val="45ED6D53"/>
    <w:rsid w:val="45EE570B"/>
    <w:rsid w:val="45F1215F"/>
    <w:rsid w:val="460035C7"/>
    <w:rsid w:val="460918DF"/>
    <w:rsid w:val="46150571"/>
    <w:rsid w:val="462857BD"/>
    <w:rsid w:val="463115FE"/>
    <w:rsid w:val="46421D85"/>
    <w:rsid w:val="46422929"/>
    <w:rsid w:val="46683B2D"/>
    <w:rsid w:val="4677642B"/>
    <w:rsid w:val="46884BFB"/>
    <w:rsid w:val="468B36CA"/>
    <w:rsid w:val="468F68C5"/>
    <w:rsid w:val="469515DA"/>
    <w:rsid w:val="46A70BA1"/>
    <w:rsid w:val="46B67EE1"/>
    <w:rsid w:val="46D418F1"/>
    <w:rsid w:val="46DA404F"/>
    <w:rsid w:val="46F7695E"/>
    <w:rsid w:val="470954AD"/>
    <w:rsid w:val="470E54A9"/>
    <w:rsid w:val="47211107"/>
    <w:rsid w:val="47236064"/>
    <w:rsid w:val="4725064D"/>
    <w:rsid w:val="4729443C"/>
    <w:rsid w:val="473E7896"/>
    <w:rsid w:val="475B3AC9"/>
    <w:rsid w:val="47914690"/>
    <w:rsid w:val="47A95370"/>
    <w:rsid w:val="47CE44D6"/>
    <w:rsid w:val="47D4172E"/>
    <w:rsid w:val="481558DD"/>
    <w:rsid w:val="48217098"/>
    <w:rsid w:val="48222F06"/>
    <w:rsid w:val="482870FA"/>
    <w:rsid w:val="48334911"/>
    <w:rsid w:val="48464E56"/>
    <w:rsid w:val="48465513"/>
    <w:rsid w:val="484B7D7D"/>
    <w:rsid w:val="48521771"/>
    <w:rsid w:val="485224CD"/>
    <w:rsid w:val="485349A4"/>
    <w:rsid w:val="485D1E63"/>
    <w:rsid w:val="485E790C"/>
    <w:rsid w:val="48697CAD"/>
    <w:rsid w:val="487A3570"/>
    <w:rsid w:val="48816CCE"/>
    <w:rsid w:val="488210CE"/>
    <w:rsid w:val="488332F2"/>
    <w:rsid w:val="488D3288"/>
    <w:rsid w:val="488F08AC"/>
    <w:rsid w:val="48916D00"/>
    <w:rsid w:val="48AA6F6C"/>
    <w:rsid w:val="48CA4D0C"/>
    <w:rsid w:val="48D72771"/>
    <w:rsid w:val="48E97F35"/>
    <w:rsid w:val="48F62793"/>
    <w:rsid w:val="48FB30BD"/>
    <w:rsid w:val="48FD6001"/>
    <w:rsid w:val="48FF0D1A"/>
    <w:rsid w:val="49007CCB"/>
    <w:rsid w:val="490606B1"/>
    <w:rsid w:val="49091D6F"/>
    <w:rsid w:val="4913307D"/>
    <w:rsid w:val="491678E8"/>
    <w:rsid w:val="4922203D"/>
    <w:rsid w:val="492733E4"/>
    <w:rsid w:val="49290C52"/>
    <w:rsid w:val="492F3C4B"/>
    <w:rsid w:val="493E3FA3"/>
    <w:rsid w:val="49423022"/>
    <w:rsid w:val="4944683A"/>
    <w:rsid w:val="49544544"/>
    <w:rsid w:val="49591143"/>
    <w:rsid w:val="495F0F7F"/>
    <w:rsid w:val="497600CA"/>
    <w:rsid w:val="49804A65"/>
    <w:rsid w:val="498245F0"/>
    <w:rsid w:val="498921F6"/>
    <w:rsid w:val="499A3345"/>
    <w:rsid w:val="499F04E1"/>
    <w:rsid w:val="49BC1967"/>
    <w:rsid w:val="49BE2A30"/>
    <w:rsid w:val="49BF0A65"/>
    <w:rsid w:val="49C61211"/>
    <w:rsid w:val="49C76987"/>
    <w:rsid w:val="49E7728B"/>
    <w:rsid w:val="49E8275C"/>
    <w:rsid w:val="49EA2030"/>
    <w:rsid w:val="49FE6395"/>
    <w:rsid w:val="4A0A2037"/>
    <w:rsid w:val="4A0C4144"/>
    <w:rsid w:val="4A124E7B"/>
    <w:rsid w:val="4A154B6F"/>
    <w:rsid w:val="4A2F30AE"/>
    <w:rsid w:val="4A3428D4"/>
    <w:rsid w:val="4A356045"/>
    <w:rsid w:val="4A386FB5"/>
    <w:rsid w:val="4A451317"/>
    <w:rsid w:val="4A5C2802"/>
    <w:rsid w:val="4A5C7867"/>
    <w:rsid w:val="4A8F0FF2"/>
    <w:rsid w:val="4A94306D"/>
    <w:rsid w:val="4AB11988"/>
    <w:rsid w:val="4AB50D3B"/>
    <w:rsid w:val="4ABF170F"/>
    <w:rsid w:val="4AD24D06"/>
    <w:rsid w:val="4AD37F96"/>
    <w:rsid w:val="4AD81791"/>
    <w:rsid w:val="4AE71A4F"/>
    <w:rsid w:val="4AE922E8"/>
    <w:rsid w:val="4AFD444A"/>
    <w:rsid w:val="4B006146"/>
    <w:rsid w:val="4B15132F"/>
    <w:rsid w:val="4B17600B"/>
    <w:rsid w:val="4B2772B4"/>
    <w:rsid w:val="4B2F13BC"/>
    <w:rsid w:val="4B352A0C"/>
    <w:rsid w:val="4B3C468A"/>
    <w:rsid w:val="4B464C59"/>
    <w:rsid w:val="4B5300A9"/>
    <w:rsid w:val="4B614C33"/>
    <w:rsid w:val="4B6232C3"/>
    <w:rsid w:val="4B655FFF"/>
    <w:rsid w:val="4B6D2998"/>
    <w:rsid w:val="4B87691C"/>
    <w:rsid w:val="4B89468B"/>
    <w:rsid w:val="4B8B3B70"/>
    <w:rsid w:val="4B9663A2"/>
    <w:rsid w:val="4B9F69BA"/>
    <w:rsid w:val="4BA20244"/>
    <w:rsid w:val="4BA604F5"/>
    <w:rsid w:val="4BB23021"/>
    <w:rsid w:val="4BBD5160"/>
    <w:rsid w:val="4BBE70D8"/>
    <w:rsid w:val="4BCE772F"/>
    <w:rsid w:val="4BD10CD9"/>
    <w:rsid w:val="4BD22AF6"/>
    <w:rsid w:val="4BE02CDF"/>
    <w:rsid w:val="4BE1330F"/>
    <w:rsid w:val="4BF26194"/>
    <w:rsid w:val="4BF339FE"/>
    <w:rsid w:val="4BF44F62"/>
    <w:rsid w:val="4BFD2F5F"/>
    <w:rsid w:val="4C044CF5"/>
    <w:rsid w:val="4C0A7190"/>
    <w:rsid w:val="4C15535E"/>
    <w:rsid w:val="4C3313E0"/>
    <w:rsid w:val="4C353112"/>
    <w:rsid w:val="4C505A94"/>
    <w:rsid w:val="4C517740"/>
    <w:rsid w:val="4C580AB7"/>
    <w:rsid w:val="4C686D6F"/>
    <w:rsid w:val="4C6A7458"/>
    <w:rsid w:val="4C6C2E3C"/>
    <w:rsid w:val="4C79769B"/>
    <w:rsid w:val="4C800752"/>
    <w:rsid w:val="4C863781"/>
    <w:rsid w:val="4C8D3147"/>
    <w:rsid w:val="4CA040DE"/>
    <w:rsid w:val="4CAF38F2"/>
    <w:rsid w:val="4CC7182F"/>
    <w:rsid w:val="4CD941BD"/>
    <w:rsid w:val="4CDC25AE"/>
    <w:rsid w:val="4D1A079B"/>
    <w:rsid w:val="4D203923"/>
    <w:rsid w:val="4D2137B6"/>
    <w:rsid w:val="4D226701"/>
    <w:rsid w:val="4D5C30CE"/>
    <w:rsid w:val="4D760488"/>
    <w:rsid w:val="4D7C2D65"/>
    <w:rsid w:val="4D7C30A2"/>
    <w:rsid w:val="4D7E6018"/>
    <w:rsid w:val="4DA60964"/>
    <w:rsid w:val="4DC44285"/>
    <w:rsid w:val="4DEC2699"/>
    <w:rsid w:val="4DFB59BA"/>
    <w:rsid w:val="4E0B18F0"/>
    <w:rsid w:val="4E0D3ECE"/>
    <w:rsid w:val="4E105A22"/>
    <w:rsid w:val="4E1158C2"/>
    <w:rsid w:val="4E1D6900"/>
    <w:rsid w:val="4E3435BE"/>
    <w:rsid w:val="4E3D2067"/>
    <w:rsid w:val="4E521947"/>
    <w:rsid w:val="4E5C6997"/>
    <w:rsid w:val="4E64246C"/>
    <w:rsid w:val="4E6B0C27"/>
    <w:rsid w:val="4E6E2129"/>
    <w:rsid w:val="4E774D34"/>
    <w:rsid w:val="4E7B47CF"/>
    <w:rsid w:val="4E8F0813"/>
    <w:rsid w:val="4E951613"/>
    <w:rsid w:val="4E9A3445"/>
    <w:rsid w:val="4E9D7EEC"/>
    <w:rsid w:val="4EA529C9"/>
    <w:rsid w:val="4EAD1DA6"/>
    <w:rsid w:val="4EB33CE4"/>
    <w:rsid w:val="4EB470B0"/>
    <w:rsid w:val="4EBB4BD5"/>
    <w:rsid w:val="4ED8675B"/>
    <w:rsid w:val="4EE7009A"/>
    <w:rsid w:val="4EEE3F11"/>
    <w:rsid w:val="4EF179BD"/>
    <w:rsid w:val="4EF228CB"/>
    <w:rsid w:val="4EF3144D"/>
    <w:rsid w:val="4F050DFA"/>
    <w:rsid w:val="4F061577"/>
    <w:rsid w:val="4F070EF4"/>
    <w:rsid w:val="4F0C2F04"/>
    <w:rsid w:val="4F1B2037"/>
    <w:rsid w:val="4F211FD5"/>
    <w:rsid w:val="4F254761"/>
    <w:rsid w:val="4F275265"/>
    <w:rsid w:val="4F2C3235"/>
    <w:rsid w:val="4F2F1160"/>
    <w:rsid w:val="4F390392"/>
    <w:rsid w:val="4F474385"/>
    <w:rsid w:val="4F5E0A6D"/>
    <w:rsid w:val="4F6713FC"/>
    <w:rsid w:val="4F76078A"/>
    <w:rsid w:val="4F836BD8"/>
    <w:rsid w:val="4F870B1F"/>
    <w:rsid w:val="4FB76E58"/>
    <w:rsid w:val="4FC652ED"/>
    <w:rsid w:val="4FC928F7"/>
    <w:rsid w:val="4FCD08E4"/>
    <w:rsid w:val="4FCE1164"/>
    <w:rsid w:val="4FD811F0"/>
    <w:rsid w:val="4FDA2B47"/>
    <w:rsid w:val="4FF973E3"/>
    <w:rsid w:val="4FFD6FFB"/>
    <w:rsid w:val="5011280E"/>
    <w:rsid w:val="50197D63"/>
    <w:rsid w:val="50200B77"/>
    <w:rsid w:val="502D344D"/>
    <w:rsid w:val="50391F4B"/>
    <w:rsid w:val="504669D6"/>
    <w:rsid w:val="50496BC1"/>
    <w:rsid w:val="504F67C3"/>
    <w:rsid w:val="505428F9"/>
    <w:rsid w:val="505B3CFC"/>
    <w:rsid w:val="50622B74"/>
    <w:rsid w:val="50770918"/>
    <w:rsid w:val="508B6349"/>
    <w:rsid w:val="50990DA6"/>
    <w:rsid w:val="509C1347"/>
    <w:rsid w:val="509D0B47"/>
    <w:rsid w:val="50A32A73"/>
    <w:rsid w:val="50A95C3F"/>
    <w:rsid w:val="50AF4F08"/>
    <w:rsid w:val="50C14C7A"/>
    <w:rsid w:val="50C22179"/>
    <w:rsid w:val="50F234C1"/>
    <w:rsid w:val="50F31B5E"/>
    <w:rsid w:val="50F651F3"/>
    <w:rsid w:val="510C24BF"/>
    <w:rsid w:val="5118779B"/>
    <w:rsid w:val="511921F7"/>
    <w:rsid w:val="511A58F1"/>
    <w:rsid w:val="511E1380"/>
    <w:rsid w:val="512771DB"/>
    <w:rsid w:val="512A18AC"/>
    <w:rsid w:val="512A2545"/>
    <w:rsid w:val="512A62CD"/>
    <w:rsid w:val="513064B7"/>
    <w:rsid w:val="514642BB"/>
    <w:rsid w:val="51570214"/>
    <w:rsid w:val="51722532"/>
    <w:rsid w:val="517660A4"/>
    <w:rsid w:val="517A000C"/>
    <w:rsid w:val="517D6840"/>
    <w:rsid w:val="5186514E"/>
    <w:rsid w:val="51870AAC"/>
    <w:rsid w:val="518A4C86"/>
    <w:rsid w:val="518D7DAE"/>
    <w:rsid w:val="5199048E"/>
    <w:rsid w:val="51A05C47"/>
    <w:rsid w:val="51A32D2F"/>
    <w:rsid w:val="51A46508"/>
    <w:rsid w:val="51A64A9B"/>
    <w:rsid w:val="51A72EFC"/>
    <w:rsid w:val="51A80E72"/>
    <w:rsid w:val="51AC273C"/>
    <w:rsid w:val="51B906F0"/>
    <w:rsid w:val="51BD1FF0"/>
    <w:rsid w:val="51BF0160"/>
    <w:rsid w:val="51D374FB"/>
    <w:rsid w:val="51DA5080"/>
    <w:rsid w:val="51E90927"/>
    <w:rsid w:val="51EE2AAA"/>
    <w:rsid w:val="52142132"/>
    <w:rsid w:val="521C3994"/>
    <w:rsid w:val="523718FB"/>
    <w:rsid w:val="524B348B"/>
    <w:rsid w:val="5257222D"/>
    <w:rsid w:val="5258714B"/>
    <w:rsid w:val="52620869"/>
    <w:rsid w:val="52636E23"/>
    <w:rsid w:val="5267689D"/>
    <w:rsid w:val="526C5893"/>
    <w:rsid w:val="52917942"/>
    <w:rsid w:val="52A357CF"/>
    <w:rsid w:val="52B64F65"/>
    <w:rsid w:val="52BF4FF0"/>
    <w:rsid w:val="52D16498"/>
    <w:rsid w:val="52E141EC"/>
    <w:rsid w:val="52E158C1"/>
    <w:rsid w:val="52E84AA2"/>
    <w:rsid w:val="52EA09DF"/>
    <w:rsid w:val="52F8011A"/>
    <w:rsid w:val="52FD13C4"/>
    <w:rsid w:val="53004E3D"/>
    <w:rsid w:val="5308165F"/>
    <w:rsid w:val="530F2E1E"/>
    <w:rsid w:val="53103F83"/>
    <w:rsid w:val="531C03BA"/>
    <w:rsid w:val="53252449"/>
    <w:rsid w:val="532841B7"/>
    <w:rsid w:val="53314A53"/>
    <w:rsid w:val="533447A9"/>
    <w:rsid w:val="53395E66"/>
    <w:rsid w:val="53641309"/>
    <w:rsid w:val="536628A0"/>
    <w:rsid w:val="536943A5"/>
    <w:rsid w:val="5375681F"/>
    <w:rsid w:val="53770B70"/>
    <w:rsid w:val="538C3FA3"/>
    <w:rsid w:val="53A30859"/>
    <w:rsid w:val="53AF0D7A"/>
    <w:rsid w:val="53AF33AB"/>
    <w:rsid w:val="53BD33A0"/>
    <w:rsid w:val="53BF452D"/>
    <w:rsid w:val="53C80155"/>
    <w:rsid w:val="53CC27A6"/>
    <w:rsid w:val="53E448FC"/>
    <w:rsid w:val="53EA2396"/>
    <w:rsid w:val="54155E62"/>
    <w:rsid w:val="5418010E"/>
    <w:rsid w:val="541A0641"/>
    <w:rsid w:val="54222F1D"/>
    <w:rsid w:val="54403EF8"/>
    <w:rsid w:val="54502680"/>
    <w:rsid w:val="547172F9"/>
    <w:rsid w:val="54790B80"/>
    <w:rsid w:val="548044A7"/>
    <w:rsid w:val="54843081"/>
    <w:rsid w:val="54877CDA"/>
    <w:rsid w:val="54911373"/>
    <w:rsid w:val="54AD396C"/>
    <w:rsid w:val="54B020C8"/>
    <w:rsid w:val="54B05A2A"/>
    <w:rsid w:val="54B37339"/>
    <w:rsid w:val="54BC281B"/>
    <w:rsid w:val="54C32738"/>
    <w:rsid w:val="54CE6714"/>
    <w:rsid w:val="54D652B4"/>
    <w:rsid w:val="54E73A49"/>
    <w:rsid w:val="54EB6C79"/>
    <w:rsid w:val="54EE134E"/>
    <w:rsid w:val="551027EC"/>
    <w:rsid w:val="551C5C12"/>
    <w:rsid w:val="55222B29"/>
    <w:rsid w:val="552C1D38"/>
    <w:rsid w:val="552F286A"/>
    <w:rsid w:val="553C395C"/>
    <w:rsid w:val="55465365"/>
    <w:rsid w:val="556A671B"/>
    <w:rsid w:val="556D6CDE"/>
    <w:rsid w:val="557D4AD0"/>
    <w:rsid w:val="55886BA1"/>
    <w:rsid w:val="558A4777"/>
    <w:rsid w:val="558E783F"/>
    <w:rsid w:val="55A4134F"/>
    <w:rsid w:val="55BD52E6"/>
    <w:rsid w:val="55BE1B04"/>
    <w:rsid w:val="55C33F62"/>
    <w:rsid w:val="55CA0E09"/>
    <w:rsid w:val="55CB21AA"/>
    <w:rsid w:val="55E7510D"/>
    <w:rsid w:val="55EC0580"/>
    <w:rsid w:val="55FC62A6"/>
    <w:rsid w:val="560D27F8"/>
    <w:rsid w:val="562A4C07"/>
    <w:rsid w:val="5634247D"/>
    <w:rsid w:val="563B3B49"/>
    <w:rsid w:val="564B43B6"/>
    <w:rsid w:val="564B4F4A"/>
    <w:rsid w:val="564D5561"/>
    <w:rsid w:val="56530543"/>
    <w:rsid w:val="565D672C"/>
    <w:rsid w:val="56617C57"/>
    <w:rsid w:val="5667169F"/>
    <w:rsid w:val="566D325A"/>
    <w:rsid w:val="566D68E8"/>
    <w:rsid w:val="566F1E9C"/>
    <w:rsid w:val="56700508"/>
    <w:rsid w:val="56714B57"/>
    <w:rsid w:val="5672641D"/>
    <w:rsid w:val="567914E5"/>
    <w:rsid w:val="56894814"/>
    <w:rsid w:val="568C56A4"/>
    <w:rsid w:val="5699381B"/>
    <w:rsid w:val="56A170AB"/>
    <w:rsid w:val="56A95021"/>
    <w:rsid w:val="56AF0889"/>
    <w:rsid w:val="56B06C04"/>
    <w:rsid w:val="56CA3567"/>
    <w:rsid w:val="56CD1B56"/>
    <w:rsid w:val="56F6662D"/>
    <w:rsid w:val="57032983"/>
    <w:rsid w:val="570C52AE"/>
    <w:rsid w:val="57177224"/>
    <w:rsid w:val="572D3B48"/>
    <w:rsid w:val="57370C84"/>
    <w:rsid w:val="573C3179"/>
    <w:rsid w:val="573C7401"/>
    <w:rsid w:val="573D41FB"/>
    <w:rsid w:val="574C29B4"/>
    <w:rsid w:val="574F2F76"/>
    <w:rsid w:val="57507C90"/>
    <w:rsid w:val="575D228E"/>
    <w:rsid w:val="57656108"/>
    <w:rsid w:val="576A2A02"/>
    <w:rsid w:val="57785115"/>
    <w:rsid w:val="577D3CB5"/>
    <w:rsid w:val="579E0C73"/>
    <w:rsid w:val="57AF41E2"/>
    <w:rsid w:val="57AF466A"/>
    <w:rsid w:val="57AF77F5"/>
    <w:rsid w:val="57B567BB"/>
    <w:rsid w:val="57C420B3"/>
    <w:rsid w:val="57C44FF9"/>
    <w:rsid w:val="57E80E03"/>
    <w:rsid w:val="57F633BC"/>
    <w:rsid w:val="57F65C5E"/>
    <w:rsid w:val="57FB4C82"/>
    <w:rsid w:val="5810629B"/>
    <w:rsid w:val="581C5180"/>
    <w:rsid w:val="581D160A"/>
    <w:rsid w:val="5822508B"/>
    <w:rsid w:val="58270BD1"/>
    <w:rsid w:val="58297D41"/>
    <w:rsid w:val="58314C3C"/>
    <w:rsid w:val="585039A6"/>
    <w:rsid w:val="58512D50"/>
    <w:rsid w:val="58541B72"/>
    <w:rsid w:val="58577ADF"/>
    <w:rsid w:val="58613E05"/>
    <w:rsid w:val="586840E0"/>
    <w:rsid w:val="58775251"/>
    <w:rsid w:val="58792968"/>
    <w:rsid w:val="588847F1"/>
    <w:rsid w:val="588A7A74"/>
    <w:rsid w:val="588C1C72"/>
    <w:rsid w:val="588E1D14"/>
    <w:rsid w:val="58975164"/>
    <w:rsid w:val="589E2980"/>
    <w:rsid w:val="58A0476D"/>
    <w:rsid w:val="58A243CB"/>
    <w:rsid w:val="58BD12E4"/>
    <w:rsid w:val="58C1309B"/>
    <w:rsid w:val="58C80CD6"/>
    <w:rsid w:val="58C9306D"/>
    <w:rsid w:val="58CB021B"/>
    <w:rsid w:val="58D54ACC"/>
    <w:rsid w:val="58D8500E"/>
    <w:rsid w:val="58E33FCF"/>
    <w:rsid w:val="58E44B36"/>
    <w:rsid w:val="58EC162F"/>
    <w:rsid w:val="58EE5915"/>
    <w:rsid w:val="58F26034"/>
    <w:rsid w:val="59015B59"/>
    <w:rsid w:val="5905208C"/>
    <w:rsid w:val="590E3917"/>
    <w:rsid w:val="591B68EE"/>
    <w:rsid w:val="592E2BAE"/>
    <w:rsid w:val="59303D3B"/>
    <w:rsid w:val="59362C6F"/>
    <w:rsid w:val="59487539"/>
    <w:rsid w:val="594C2D2C"/>
    <w:rsid w:val="59551373"/>
    <w:rsid w:val="59551452"/>
    <w:rsid w:val="59576BE5"/>
    <w:rsid w:val="595E0E72"/>
    <w:rsid w:val="595E70C5"/>
    <w:rsid w:val="596811C3"/>
    <w:rsid w:val="596B480F"/>
    <w:rsid w:val="597E2795"/>
    <w:rsid w:val="59841255"/>
    <w:rsid w:val="59893E12"/>
    <w:rsid w:val="598C4ACB"/>
    <w:rsid w:val="5998717B"/>
    <w:rsid w:val="59A510FA"/>
    <w:rsid w:val="59B20458"/>
    <w:rsid w:val="59B40F68"/>
    <w:rsid w:val="59DE4AF7"/>
    <w:rsid w:val="59DF680F"/>
    <w:rsid w:val="59E01BF9"/>
    <w:rsid w:val="59F53F05"/>
    <w:rsid w:val="5A0338EE"/>
    <w:rsid w:val="5A0709DC"/>
    <w:rsid w:val="5A266ED4"/>
    <w:rsid w:val="5A317222"/>
    <w:rsid w:val="5A331546"/>
    <w:rsid w:val="5A344602"/>
    <w:rsid w:val="5A435944"/>
    <w:rsid w:val="5A472AAA"/>
    <w:rsid w:val="5A53777D"/>
    <w:rsid w:val="5A5D577D"/>
    <w:rsid w:val="5A5E0F3E"/>
    <w:rsid w:val="5A621151"/>
    <w:rsid w:val="5A6B0A15"/>
    <w:rsid w:val="5A6E06CB"/>
    <w:rsid w:val="5A806909"/>
    <w:rsid w:val="5A884979"/>
    <w:rsid w:val="5A8C271B"/>
    <w:rsid w:val="5A9B225F"/>
    <w:rsid w:val="5AA876F3"/>
    <w:rsid w:val="5AAC6C98"/>
    <w:rsid w:val="5AAE291F"/>
    <w:rsid w:val="5ABE0F53"/>
    <w:rsid w:val="5AD225DF"/>
    <w:rsid w:val="5AD54018"/>
    <w:rsid w:val="5ADA5529"/>
    <w:rsid w:val="5ADF4C32"/>
    <w:rsid w:val="5AF21B13"/>
    <w:rsid w:val="5B287FD1"/>
    <w:rsid w:val="5B350CFA"/>
    <w:rsid w:val="5B3B1A07"/>
    <w:rsid w:val="5B745BFD"/>
    <w:rsid w:val="5B8D4F11"/>
    <w:rsid w:val="5B982393"/>
    <w:rsid w:val="5BA213A6"/>
    <w:rsid w:val="5BA32488"/>
    <w:rsid w:val="5BB67B86"/>
    <w:rsid w:val="5BCF1086"/>
    <w:rsid w:val="5BD62F17"/>
    <w:rsid w:val="5BD75513"/>
    <w:rsid w:val="5BE61057"/>
    <w:rsid w:val="5C0353E1"/>
    <w:rsid w:val="5C135E12"/>
    <w:rsid w:val="5C165F18"/>
    <w:rsid w:val="5C170696"/>
    <w:rsid w:val="5C226E29"/>
    <w:rsid w:val="5C396303"/>
    <w:rsid w:val="5C3E3426"/>
    <w:rsid w:val="5C456B1F"/>
    <w:rsid w:val="5C49460B"/>
    <w:rsid w:val="5C49708A"/>
    <w:rsid w:val="5C597D3F"/>
    <w:rsid w:val="5C67129A"/>
    <w:rsid w:val="5C70627A"/>
    <w:rsid w:val="5CAD41A3"/>
    <w:rsid w:val="5CAF14FC"/>
    <w:rsid w:val="5CAF4837"/>
    <w:rsid w:val="5CB33878"/>
    <w:rsid w:val="5CB73713"/>
    <w:rsid w:val="5CC27680"/>
    <w:rsid w:val="5CD62CF9"/>
    <w:rsid w:val="5CD92BC2"/>
    <w:rsid w:val="5CDF354A"/>
    <w:rsid w:val="5CE15956"/>
    <w:rsid w:val="5CEA5527"/>
    <w:rsid w:val="5CED533D"/>
    <w:rsid w:val="5CF136DD"/>
    <w:rsid w:val="5D080195"/>
    <w:rsid w:val="5D120C1A"/>
    <w:rsid w:val="5D1914B8"/>
    <w:rsid w:val="5D1A774F"/>
    <w:rsid w:val="5D1D6FA5"/>
    <w:rsid w:val="5D1F4F39"/>
    <w:rsid w:val="5D2C42B6"/>
    <w:rsid w:val="5D4055A1"/>
    <w:rsid w:val="5D493AD5"/>
    <w:rsid w:val="5D586AB6"/>
    <w:rsid w:val="5D6101B0"/>
    <w:rsid w:val="5D752A6B"/>
    <w:rsid w:val="5D772E93"/>
    <w:rsid w:val="5D8C0D09"/>
    <w:rsid w:val="5DAA3B58"/>
    <w:rsid w:val="5DB140C5"/>
    <w:rsid w:val="5DC358FB"/>
    <w:rsid w:val="5DD02CCC"/>
    <w:rsid w:val="5DD76CF7"/>
    <w:rsid w:val="5DDE5B9A"/>
    <w:rsid w:val="5DEA56C4"/>
    <w:rsid w:val="5DFA7C13"/>
    <w:rsid w:val="5E002D18"/>
    <w:rsid w:val="5E037E73"/>
    <w:rsid w:val="5E094EFC"/>
    <w:rsid w:val="5E103063"/>
    <w:rsid w:val="5E132E92"/>
    <w:rsid w:val="5E1B7986"/>
    <w:rsid w:val="5E1D7BF0"/>
    <w:rsid w:val="5E2C6C97"/>
    <w:rsid w:val="5E334C6E"/>
    <w:rsid w:val="5E481038"/>
    <w:rsid w:val="5E4D3687"/>
    <w:rsid w:val="5E5B12F6"/>
    <w:rsid w:val="5E5C379A"/>
    <w:rsid w:val="5E5D3BDC"/>
    <w:rsid w:val="5E607C4E"/>
    <w:rsid w:val="5E613745"/>
    <w:rsid w:val="5E6877BF"/>
    <w:rsid w:val="5E6A6428"/>
    <w:rsid w:val="5E874FB4"/>
    <w:rsid w:val="5E931EE2"/>
    <w:rsid w:val="5E9C1DB9"/>
    <w:rsid w:val="5EA71AC1"/>
    <w:rsid w:val="5EBB4BBD"/>
    <w:rsid w:val="5EC06DA7"/>
    <w:rsid w:val="5ECE268A"/>
    <w:rsid w:val="5ED772DF"/>
    <w:rsid w:val="5ED916CF"/>
    <w:rsid w:val="5EE14420"/>
    <w:rsid w:val="5EEC1F4F"/>
    <w:rsid w:val="5F03486B"/>
    <w:rsid w:val="5F126D6B"/>
    <w:rsid w:val="5F195AD5"/>
    <w:rsid w:val="5F197863"/>
    <w:rsid w:val="5F1C2834"/>
    <w:rsid w:val="5F2605D8"/>
    <w:rsid w:val="5F2D1D92"/>
    <w:rsid w:val="5F2E7B20"/>
    <w:rsid w:val="5F31775C"/>
    <w:rsid w:val="5F411E6F"/>
    <w:rsid w:val="5F436C9A"/>
    <w:rsid w:val="5F4804A5"/>
    <w:rsid w:val="5F4E5527"/>
    <w:rsid w:val="5F5274C8"/>
    <w:rsid w:val="5F590333"/>
    <w:rsid w:val="5F5A46C5"/>
    <w:rsid w:val="5F8D5606"/>
    <w:rsid w:val="5F986749"/>
    <w:rsid w:val="5FB70F08"/>
    <w:rsid w:val="5FB920E4"/>
    <w:rsid w:val="5FBC2237"/>
    <w:rsid w:val="5FBF3F8A"/>
    <w:rsid w:val="5FD93141"/>
    <w:rsid w:val="5FDA1651"/>
    <w:rsid w:val="60096006"/>
    <w:rsid w:val="60142778"/>
    <w:rsid w:val="601D5E61"/>
    <w:rsid w:val="601F736A"/>
    <w:rsid w:val="60320B46"/>
    <w:rsid w:val="6038465E"/>
    <w:rsid w:val="603F0CC5"/>
    <w:rsid w:val="604C21A2"/>
    <w:rsid w:val="604C61EC"/>
    <w:rsid w:val="60557DA8"/>
    <w:rsid w:val="606036A1"/>
    <w:rsid w:val="60780BEA"/>
    <w:rsid w:val="60787C9D"/>
    <w:rsid w:val="607D6352"/>
    <w:rsid w:val="60806DF2"/>
    <w:rsid w:val="608234A3"/>
    <w:rsid w:val="60877508"/>
    <w:rsid w:val="60952CA2"/>
    <w:rsid w:val="60967D58"/>
    <w:rsid w:val="609A4792"/>
    <w:rsid w:val="609D1A02"/>
    <w:rsid w:val="60A6574D"/>
    <w:rsid w:val="60A86598"/>
    <w:rsid w:val="60B46EC5"/>
    <w:rsid w:val="60C24EF4"/>
    <w:rsid w:val="60D35EB2"/>
    <w:rsid w:val="60D84A21"/>
    <w:rsid w:val="60DE2835"/>
    <w:rsid w:val="60E067A5"/>
    <w:rsid w:val="60E76D38"/>
    <w:rsid w:val="61027EFE"/>
    <w:rsid w:val="610A2134"/>
    <w:rsid w:val="610C4B2A"/>
    <w:rsid w:val="611702AC"/>
    <w:rsid w:val="612968E5"/>
    <w:rsid w:val="612B4FB0"/>
    <w:rsid w:val="612D0B0A"/>
    <w:rsid w:val="612E393F"/>
    <w:rsid w:val="614C71B3"/>
    <w:rsid w:val="6155027F"/>
    <w:rsid w:val="6156275E"/>
    <w:rsid w:val="615B7803"/>
    <w:rsid w:val="616E3112"/>
    <w:rsid w:val="616F5279"/>
    <w:rsid w:val="617527C5"/>
    <w:rsid w:val="618C5202"/>
    <w:rsid w:val="618E01FC"/>
    <w:rsid w:val="619260F6"/>
    <w:rsid w:val="619C3A1F"/>
    <w:rsid w:val="61BD0560"/>
    <w:rsid w:val="61C0178A"/>
    <w:rsid w:val="61CE1ADA"/>
    <w:rsid w:val="61D45ACD"/>
    <w:rsid w:val="61E52B33"/>
    <w:rsid w:val="61E57C88"/>
    <w:rsid w:val="61E6444A"/>
    <w:rsid w:val="61E72E46"/>
    <w:rsid w:val="61E949DF"/>
    <w:rsid w:val="620325E7"/>
    <w:rsid w:val="62075913"/>
    <w:rsid w:val="62254D98"/>
    <w:rsid w:val="6231476B"/>
    <w:rsid w:val="623230B0"/>
    <w:rsid w:val="623A4E58"/>
    <w:rsid w:val="625008DB"/>
    <w:rsid w:val="62567BAB"/>
    <w:rsid w:val="625B3520"/>
    <w:rsid w:val="62631275"/>
    <w:rsid w:val="62834132"/>
    <w:rsid w:val="628C2B81"/>
    <w:rsid w:val="628D5383"/>
    <w:rsid w:val="628E353F"/>
    <w:rsid w:val="628F2C00"/>
    <w:rsid w:val="62923164"/>
    <w:rsid w:val="62B90725"/>
    <w:rsid w:val="62C118AA"/>
    <w:rsid w:val="62C14AC7"/>
    <w:rsid w:val="62DC176B"/>
    <w:rsid w:val="62DC2DF2"/>
    <w:rsid w:val="630B0A38"/>
    <w:rsid w:val="63142D97"/>
    <w:rsid w:val="63180884"/>
    <w:rsid w:val="631A468A"/>
    <w:rsid w:val="632B7989"/>
    <w:rsid w:val="63365E8E"/>
    <w:rsid w:val="63471E49"/>
    <w:rsid w:val="6350435F"/>
    <w:rsid w:val="635073B6"/>
    <w:rsid w:val="6353182C"/>
    <w:rsid w:val="6353259C"/>
    <w:rsid w:val="635B76A3"/>
    <w:rsid w:val="63707B93"/>
    <w:rsid w:val="637540E5"/>
    <w:rsid w:val="63914BFE"/>
    <w:rsid w:val="639849FF"/>
    <w:rsid w:val="639B301C"/>
    <w:rsid w:val="639E2A1B"/>
    <w:rsid w:val="63A460E4"/>
    <w:rsid w:val="63B26595"/>
    <w:rsid w:val="63B53257"/>
    <w:rsid w:val="63CE304C"/>
    <w:rsid w:val="63D80CC6"/>
    <w:rsid w:val="63DB086B"/>
    <w:rsid w:val="63DB101D"/>
    <w:rsid w:val="63F77E97"/>
    <w:rsid w:val="64062000"/>
    <w:rsid w:val="640753BD"/>
    <w:rsid w:val="6431422D"/>
    <w:rsid w:val="643455D1"/>
    <w:rsid w:val="644A143B"/>
    <w:rsid w:val="644F5459"/>
    <w:rsid w:val="64547391"/>
    <w:rsid w:val="64557188"/>
    <w:rsid w:val="645D34BD"/>
    <w:rsid w:val="646416DA"/>
    <w:rsid w:val="648A708F"/>
    <w:rsid w:val="64995B08"/>
    <w:rsid w:val="649A3D70"/>
    <w:rsid w:val="64A0476D"/>
    <w:rsid w:val="64C150AD"/>
    <w:rsid w:val="64C40DDE"/>
    <w:rsid w:val="64D4770D"/>
    <w:rsid w:val="64DF1056"/>
    <w:rsid w:val="64E0798A"/>
    <w:rsid w:val="64E13A90"/>
    <w:rsid w:val="64E33DF4"/>
    <w:rsid w:val="64ED09AB"/>
    <w:rsid w:val="64EE038D"/>
    <w:rsid w:val="64EF442A"/>
    <w:rsid w:val="64F817DC"/>
    <w:rsid w:val="64F83E2E"/>
    <w:rsid w:val="64F90C8E"/>
    <w:rsid w:val="64F93617"/>
    <w:rsid w:val="64FA1655"/>
    <w:rsid w:val="65012448"/>
    <w:rsid w:val="650E751E"/>
    <w:rsid w:val="65116A21"/>
    <w:rsid w:val="6518579C"/>
    <w:rsid w:val="652F04C3"/>
    <w:rsid w:val="65306540"/>
    <w:rsid w:val="65334800"/>
    <w:rsid w:val="654C7B30"/>
    <w:rsid w:val="65641CF7"/>
    <w:rsid w:val="6573486C"/>
    <w:rsid w:val="657A6802"/>
    <w:rsid w:val="657E782B"/>
    <w:rsid w:val="658919EF"/>
    <w:rsid w:val="658B2FF2"/>
    <w:rsid w:val="658C3273"/>
    <w:rsid w:val="65A070E8"/>
    <w:rsid w:val="65BB4362"/>
    <w:rsid w:val="65C559DC"/>
    <w:rsid w:val="65E21344"/>
    <w:rsid w:val="65EC05FA"/>
    <w:rsid w:val="65F75893"/>
    <w:rsid w:val="65FB1A10"/>
    <w:rsid w:val="662A7F2C"/>
    <w:rsid w:val="66414B7E"/>
    <w:rsid w:val="665125DF"/>
    <w:rsid w:val="665B35BD"/>
    <w:rsid w:val="66642C8A"/>
    <w:rsid w:val="66683225"/>
    <w:rsid w:val="66733326"/>
    <w:rsid w:val="667444A2"/>
    <w:rsid w:val="668A77F3"/>
    <w:rsid w:val="66AB3B52"/>
    <w:rsid w:val="66AD290B"/>
    <w:rsid w:val="66B36341"/>
    <w:rsid w:val="66B842DE"/>
    <w:rsid w:val="66D00EE7"/>
    <w:rsid w:val="66D450B8"/>
    <w:rsid w:val="66F9345B"/>
    <w:rsid w:val="66FB1DD8"/>
    <w:rsid w:val="67055C81"/>
    <w:rsid w:val="670804D1"/>
    <w:rsid w:val="670A3A9C"/>
    <w:rsid w:val="671064A7"/>
    <w:rsid w:val="67110FF9"/>
    <w:rsid w:val="67156C3B"/>
    <w:rsid w:val="671E6D58"/>
    <w:rsid w:val="67207CD1"/>
    <w:rsid w:val="67384283"/>
    <w:rsid w:val="6744501E"/>
    <w:rsid w:val="67487005"/>
    <w:rsid w:val="676A6106"/>
    <w:rsid w:val="676D1CB7"/>
    <w:rsid w:val="6781229A"/>
    <w:rsid w:val="67902B82"/>
    <w:rsid w:val="67A37BCA"/>
    <w:rsid w:val="67AD610F"/>
    <w:rsid w:val="67B15063"/>
    <w:rsid w:val="67D24264"/>
    <w:rsid w:val="67DF239E"/>
    <w:rsid w:val="67FA4435"/>
    <w:rsid w:val="67FC0093"/>
    <w:rsid w:val="67FD38AF"/>
    <w:rsid w:val="68056DAA"/>
    <w:rsid w:val="680B6262"/>
    <w:rsid w:val="682A653B"/>
    <w:rsid w:val="682C0DB0"/>
    <w:rsid w:val="68373D92"/>
    <w:rsid w:val="683C38F2"/>
    <w:rsid w:val="684F5235"/>
    <w:rsid w:val="68566863"/>
    <w:rsid w:val="685F2468"/>
    <w:rsid w:val="6861368C"/>
    <w:rsid w:val="68633E39"/>
    <w:rsid w:val="686709A9"/>
    <w:rsid w:val="687D3D60"/>
    <w:rsid w:val="68814A9A"/>
    <w:rsid w:val="688C21D7"/>
    <w:rsid w:val="688C472E"/>
    <w:rsid w:val="688D71EE"/>
    <w:rsid w:val="689B5EC2"/>
    <w:rsid w:val="68A573A1"/>
    <w:rsid w:val="68AC3B8A"/>
    <w:rsid w:val="68C35CFE"/>
    <w:rsid w:val="68D9694C"/>
    <w:rsid w:val="68DA2CB0"/>
    <w:rsid w:val="68E936B9"/>
    <w:rsid w:val="68EC35CE"/>
    <w:rsid w:val="68F4156F"/>
    <w:rsid w:val="68F94441"/>
    <w:rsid w:val="68FB2B91"/>
    <w:rsid w:val="69200D48"/>
    <w:rsid w:val="69220777"/>
    <w:rsid w:val="69262600"/>
    <w:rsid w:val="692808D9"/>
    <w:rsid w:val="69421A6A"/>
    <w:rsid w:val="6947119C"/>
    <w:rsid w:val="694C6B0B"/>
    <w:rsid w:val="696423FC"/>
    <w:rsid w:val="69670BC7"/>
    <w:rsid w:val="696830C6"/>
    <w:rsid w:val="698A56C4"/>
    <w:rsid w:val="69974BF6"/>
    <w:rsid w:val="699B5C94"/>
    <w:rsid w:val="69A23D3B"/>
    <w:rsid w:val="69A27DD9"/>
    <w:rsid w:val="69A57933"/>
    <w:rsid w:val="69A62D0E"/>
    <w:rsid w:val="69B438C5"/>
    <w:rsid w:val="69B47B0D"/>
    <w:rsid w:val="69F05EF7"/>
    <w:rsid w:val="6A0A1633"/>
    <w:rsid w:val="6A106C94"/>
    <w:rsid w:val="6A1936A9"/>
    <w:rsid w:val="6A2279D7"/>
    <w:rsid w:val="6A2C0F70"/>
    <w:rsid w:val="6A327690"/>
    <w:rsid w:val="6A414372"/>
    <w:rsid w:val="6A4D7ECA"/>
    <w:rsid w:val="6A5C3F8E"/>
    <w:rsid w:val="6A6246C2"/>
    <w:rsid w:val="6A643BEA"/>
    <w:rsid w:val="6A6D6639"/>
    <w:rsid w:val="6A745DB8"/>
    <w:rsid w:val="6A8131C2"/>
    <w:rsid w:val="6A8D0FC9"/>
    <w:rsid w:val="6A9F75FF"/>
    <w:rsid w:val="6AA17D67"/>
    <w:rsid w:val="6AB903B3"/>
    <w:rsid w:val="6AD652A1"/>
    <w:rsid w:val="6AD730FA"/>
    <w:rsid w:val="6ADB67B6"/>
    <w:rsid w:val="6B052BDC"/>
    <w:rsid w:val="6B055340"/>
    <w:rsid w:val="6B2003D5"/>
    <w:rsid w:val="6B2B591D"/>
    <w:rsid w:val="6B3C2DC6"/>
    <w:rsid w:val="6B4535AC"/>
    <w:rsid w:val="6B4E36DC"/>
    <w:rsid w:val="6B582159"/>
    <w:rsid w:val="6B5D6E8C"/>
    <w:rsid w:val="6B767AEA"/>
    <w:rsid w:val="6B795473"/>
    <w:rsid w:val="6B983F20"/>
    <w:rsid w:val="6BA95DC3"/>
    <w:rsid w:val="6BAB37BA"/>
    <w:rsid w:val="6BAC63BD"/>
    <w:rsid w:val="6BB32FA7"/>
    <w:rsid w:val="6C031187"/>
    <w:rsid w:val="6C064A0F"/>
    <w:rsid w:val="6C0C1F5A"/>
    <w:rsid w:val="6C0E71E4"/>
    <w:rsid w:val="6C1362CF"/>
    <w:rsid w:val="6C15595A"/>
    <w:rsid w:val="6C1E1456"/>
    <w:rsid w:val="6C221890"/>
    <w:rsid w:val="6C246023"/>
    <w:rsid w:val="6C2E5F88"/>
    <w:rsid w:val="6C366E21"/>
    <w:rsid w:val="6C3C1BC3"/>
    <w:rsid w:val="6C612FB4"/>
    <w:rsid w:val="6C7D24C1"/>
    <w:rsid w:val="6C85403C"/>
    <w:rsid w:val="6C8919D5"/>
    <w:rsid w:val="6C8C6B1F"/>
    <w:rsid w:val="6C937296"/>
    <w:rsid w:val="6CD75588"/>
    <w:rsid w:val="6CDA788A"/>
    <w:rsid w:val="6CE82A6B"/>
    <w:rsid w:val="6CEE4CAE"/>
    <w:rsid w:val="6CFF6DFF"/>
    <w:rsid w:val="6D003795"/>
    <w:rsid w:val="6D030CD4"/>
    <w:rsid w:val="6D072A48"/>
    <w:rsid w:val="6D0F1180"/>
    <w:rsid w:val="6D260D22"/>
    <w:rsid w:val="6D2A3DDA"/>
    <w:rsid w:val="6D2E53A0"/>
    <w:rsid w:val="6D30536D"/>
    <w:rsid w:val="6D341690"/>
    <w:rsid w:val="6D4B4A44"/>
    <w:rsid w:val="6D4E138C"/>
    <w:rsid w:val="6D543D2D"/>
    <w:rsid w:val="6D565056"/>
    <w:rsid w:val="6D580015"/>
    <w:rsid w:val="6D5D3E3A"/>
    <w:rsid w:val="6D655CEE"/>
    <w:rsid w:val="6D787433"/>
    <w:rsid w:val="6D7935AF"/>
    <w:rsid w:val="6D8D5D97"/>
    <w:rsid w:val="6D9F70D8"/>
    <w:rsid w:val="6DA774EA"/>
    <w:rsid w:val="6DBB0AE0"/>
    <w:rsid w:val="6DBC6685"/>
    <w:rsid w:val="6DC6049B"/>
    <w:rsid w:val="6DC966FE"/>
    <w:rsid w:val="6DE042D2"/>
    <w:rsid w:val="6DE16A34"/>
    <w:rsid w:val="6DE50BDD"/>
    <w:rsid w:val="6DE83520"/>
    <w:rsid w:val="6DE85FD7"/>
    <w:rsid w:val="6DE913E9"/>
    <w:rsid w:val="6E024A3D"/>
    <w:rsid w:val="6E1F1B59"/>
    <w:rsid w:val="6E1F72E4"/>
    <w:rsid w:val="6E25171E"/>
    <w:rsid w:val="6E417C58"/>
    <w:rsid w:val="6E691E0F"/>
    <w:rsid w:val="6E700C16"/>
    <w:rsid w:val="6E781A51"/>
    <w:rsid w:val="6E8071A7"/>
    <w:rsid w:val="6E8B5238"/>
    <w:rsid w:val="6E973995"/>
    <w:rsid w:val="6EB02986"/>
    <w:rsid w:val="6EBA7973"/>
    <w:rsid w:val="6EBB59D4"/>
    <w:rsid w:val="6EC46A44"/>
    <w:rsid w:val="6EC73997"/>
    <w:rsid w:val="6ECB2471"/>
    <w:rsid w:val="6ED45930"/>
    <w:rsid w:val="6EDF562C"/>
    <w:rsid w:val="6EFC142E"/>
    <w:rsid w:val="6EFF7A9A"/>
    <w:rsid w:val="6F065ED8"/>
    <w:rsid w:val="6F145A9A"/>
    <w:rsid w:val="6F1928EC"/>
    <w:rsid w:val="6F2677FF"/>
    <w:rsid w:val="6F454EED"/>
    <w:rsid w:val="6F473439"/>
    <w:rsid w:val="6F4C1D01"/>
    <w:rsid w:val="6F5168C3"/>
    <w:rsid w:val="6F59718C"/>
    <w:rsid w:val="6F686E1B"/>
    <w:rsid w:val="6F7254DA"/>
    <w:rsid w:val="6F7B777F"/>
    <w:rsid w:val="6F994256"/>
    <w:rsid w:val="6FA95BB5"/>
    <w:rsid w:val="6FAA079D"/>
    <w:rsid w:val="6FB601FD"/>
    <w:rsid w:val="6FBC62A2"/>
    <w:rsid w:val="6FC075AC"/>
    <w:rsid w:val="6FC24366"/>
    <w:rsid w:val="6FE02B99"/>
    <w:rsid w:val="6FE87A0B"/>
    <w:rsid w:val="6FF00D24"/>
    <w:rsid w:val="701558D0"/>
    <w:rsid w:val="70173F63"/>
    <w:rsid w:val="701E3AB5"/>
    <w:rsid w:val="702A22AB"/>
    <w:rsid w:val="70302B20"/>
    <w:rsid w:val="703E540C"/>
    <w:rsid w:val="70413449"/>
    <w:rsid w:val="70453132"/>
    <w:rsid w:val="70542F06"/>
    <w:rsid w:val="706A7177"/>
    <w:rsid w:val="706E0430"/>
    <w:rsid w:val="707052FE"/>
    <w:rsid w:val="70743A20"/>
    <w:rsid w:val="7079629C"/>
    <w:rsid w:val="70803BF7"/>
    <w:rsid w:val="70826C23"/>
    <w:rsid w:val="70840A8E"/>
    <w:rsid w:val="708629BA"/>
    <w:rsid w:val="708B0FCE"/>
    <w:rsid w:val="708D6D39"/>
    <w:rsid w:val="70983F99"/>
    <w:rsid w:val="709B0FDC"/>
    <w:rsid w:val="70A203E1"/>
    <w:rsid w:val="70A22DB5"/>
    <w:rsid w:val="70A4474D"/>
    <w:rsid w:val="70B366FC"/>
    <w:rsid w:val="70BC6603"/>
    <w:rsid w:val="70C9490B"/>
    <w:rsid w:val="70DD5B9B"/>
    <w:rsid w:val="70ED190A"/>
    <w:rsid w:val="70F84EA4"/>
    <w:rsid w:val="71094BA7"/>
    <w:rsid w:val="7111772B"/>
    <w:rsid w:val="71274BC8"/>
    <w:rsid w:val="71336694"/>
    <w:rsid w:val="71347EB1"/>
    <w:rsid w:val="71405AB7"/>
    <w:rsid w:val="71415601"/>
    <w:rsid w:val="71423777"/>
    <w:rsid w:val="71444336"/>
    <w:rsid w:val="714633D8"/>
    <w:rsid w:val="71477F3D"/>
    <w:rsid w:val="714C4839"/>
    <w:rsid w:val="715630F6"/>
    <w:rsid w:val="715A2CC9"/>
    <w:rsid w:val="71610678"/>
    <w:rsid w:val="716218AC"/>
    <w:rsid w:val="71693E11"/>
    <w:rsid w:val="716B534C"/>
    <w:rsid w:val="71756067"/>
    <w:rsid w:val="717E249F"/>
    <w:rsid w:val="71833BD0"/>
    <w:rsid w:val="718E2932"/>
    <w:rsid w:val="71AC4088"/>
    <w:rsid w:val="71BE128C"/>
    <w:rsid w:val="71C918BD"/>
    <w:rsid w:val="71CA5BD0"/>
    <w:rsid w:val="71E31AFD"/>
    <w:rsid w:val="71E80BB5"/>
    <w:rsid w:val="71EC0878"/>
    <w:rsid w:val="71FD73B6"/>
    <w:rsid w:val="720C0F68"/>
    <w:rsid w:val="720F23DD"/>
    <w:rsid w:val="720F69D7"/>
    <w:rsid w:val="72190DEC"/>
    <w:rsid w:val="721D6B97"/>
    <w:rsid w:val="721E1388"/>
    <w:rsid w:val="72275488"/>
    <w:rsid w:val="72350838"/>
    <w:rsid w:val="72376B1C"/>
    <w:rsid w:val="72437ABF"/>
    <w:rsid w:val="72547E80"/>
    <w:rsid w:val="72556331"/>
    <w:rsid w:val="72605A33"/>
    <w:rsid w:val="72654369"/>
    <w:rsid w:val="726636D4"/>
    <w:rsid w:val="72835AD6"/>
    <w:rsid w:val="728B6DF3"/>
    <w:rsid w:val="729B31C1"/>
    <w:rsid w:val="72A77C58"/>
    <w:rsid w:val="72AC380B"/>
    <w:rsid w:val="72AC65F9"/>
    <w:rsid w:val="72B57D8F"/>
    <w:rsid w:val="72BC491C"/>
    <w:rsid w:val="72BF5DE5"/>
    <w:rsid w:val="72CB7E12"/>
    <w:rsid w:val="72D3236B"/>
    <w:rsid w:val="72F10419"/>
    <w:rsid w:val="72F37DA6"/>
    <w:rsid w:val="730A2F6D"/>
    <w:rsid w:val="730E4C2E"/>
    <w:rsid w:val="731329AC"/>
    <w:rsid w:val="73236E6D"/>
    <w:rsid w:val="7326642D"/>
    <w:rsid w:val="732D3A29"/>
    <w:rsid w:val="733638DD"/>
    <w:rsid w:val="73393E4D"/>
    <w:rsid w:val="733C4DFB"/>
    <w:rsid w:val="7348581F"/>
    <w:rsid w:val="734E36CC"/>
    <w:rsid w:val="73621AF3"/>
    <w:rsid w:val="73670E91"/>
    <w:rsid w:val="73770529"/>
    <w:rsid w:val="737834DE"/>
    <w:rsid w:val="7379604F"/>
    <w:rsid w:val="73833855"/>
    <w:rsid w:val="73841109"/>
    <w:rsid w:val="73937599"/>
    <w:rsid w:val="73966605"/>
    <w:rsid w:val="739A0F94"/>
    <w:rsid w:val="73A330CC"/>
    <w:rsid w:val="73AD1077"/>
    <w:rsid w:val="73AE26E2"/>
    <w:rsid w:val="73C63E93"/>
    <w:rsid w:val="73DB3D81"/>
    <w:rsid w:val="73DC00C2"/>
    <w:rsid w:val="73E34FBE"/>
    <w:rsid w:val="73ED59CA"/>
    <w:rsid w:val="74015384"/>
    <w:rsid w:val="740643E6"/>
    <w:rsid w:val="740E448D"/>
    <w:rsid w:val="7418011A"/>
    <w:rsid w:val="741A6D99"/>
    <w:rsid w:val="741D352F"/>
    <w:rsid w:val="74224B2A"/>
    <w:rsid w:val="742423A4"/>
    <w:rsid w:val="74266FCF"/>
    <w:rsid w:val="743A7BEB"/>
    <w:rsid w:val="7440569A"/>
    <w:rsid w:val="74451D93"/>
    <w:rsid w:val="747E393C"/>
    <w:rsid w:val="74820216"/>
    <w:rsid w:val="749C6A88"/>
    <w:rsid w:val="74AE2625"/>
    <w:rsid w:val="74AF09D6"/>
    <w:rsid w:val="74E67A21"/>
    <w:rsid w:val="74F03996"/>
    <w:rsid w:val="74FD1FAD"/>
    <w:rsid w:val="74FF28B4"/>
    <w:rsid w:val="74FF5B51"/>
    <w:rsid w:val="751374DB"/>
    <w:rsid w:val="751D5F8F"/>
    <w:rsid w:val="753357E0"/>
    <w:rsid w:val="75527354"/>
    <w:rsid w:val="755444A7"/>
    <w:rsid w:val="7569051D"/>
    <w:rsid w:val="75772CB6"/>
    <w:rsid w:val="75814D05"/>
    <w:rsid w:val="7586579F"/>
    <w:rsid w:val="759233F8"/>
    <w:rsid w:val="759A4D74"/>
    <w:rsid w:val="75A82C1C"/>
    <w:rsid w:val="75A923CB"/>
    <w:rsid w:val="75CB06B8"/>
    <w:rsid w:val="75D05304"/>
    <w:rsid w:val="75D152A1"/>
    <w:rsid w:val="75DD1679"/>
    <w:rsid w:val="75E775D3"/>
    <w:rsid w:val="75E95EC5"/>
    <w:rsid w:val="75EB2C19"/>
    <w:rsid w:val="760607A9"/>
    <w:rsid w:val="760630B0"/>
    <w:rsid w:val="760B152B"/>
    <w:rsid w:val="761A47E5"/>
    <w:rsid w:val="76220721"/>
    <w:rsid w:val="76271DD8"/>
    <w:rsid w:val="7629045A"/>
    <w:rsid w:val="763A1F53"/>
    <w:rsid w:val="7642072D"/>
    <w:rsid w:val="764C3FFD"/>
    <w:rsid w:val="7660026D"/>
    <w:rsid w:val="766052A4"/>
    <w:rsid w:val="76662A8A"/>
    <w:rsid w:val="766F060E"/>
    <w:rsid w:val="766F7295"/>
    <w:rsid w:val="7671271D"/>
    <w:rsid w:val="76774F1C"/>
    <w:rsid w:val="767C14A3"/>
    <w:rsid w:val="767F7FAD"/>
    <w:rsid w:val="769A038F"/>
    <w:rsid w:val="769B5307"/>
    <w:rsid w:val="769C4C9C"/>
    <w:rsid w:val="76A25460"/>
    <w:rsid w:val="76A74C81"/>
    <w:rsid w:val="76BC27CD"/>
    <w:rsid w:val="76BD7B14"/>
    <w:rsid w:val="76C135CE"/>
    <w:rsid w:val="76C15C71"/>
    <w:rsid w:val="76C21ABB"/>
    <w:rsid w:val="76DF7A5D"/>
    <w:rsid w:val="76E802CA"/>
    <w:rsid w:val="76EF036D"/>
    <w:rsid w:val="76F74679"/>
    <w:rsid w:val="76F854DD"/>
    <w:rsid w:val="77064061"/>
    <w:rsid w:val="77075720"/>
    <w:rsid w:val="77080893"/>
    <w:rsid w:val="771417C8"/>
    <w:rsid w:val="771554AB"/>
    <w:rsid w:val="7719321C"/>
    <w:rsid w:val="771C1C44"/>
    <w:rsid w:val="771F2F29"/>
    <w:rsid w:val="77215065"/>
    <w:rsid w:val="77221F42"/>
    <w:rsid w:val="772550DB"/>
    <w:rsid w:val="77305E24"/>
    <w:rsid w:val="77560D82"/>
    <w:rsid w:val="775D187A"/>
    <w:rsid w:val="77602814"/>
    <w:rsid w:val="776A13AC"/>
    <w:rsid w:val="776A771E"/>
    <w:rsid w:val="776C7E5C"/>
    <w:rsid w:val="776D2F15"/>
    <w:rsid w:val="77734C63"/>
    <w:rsid w:val="777C4CFD"/>
    <w:rsid w:val="777F1D0D"/>
    <w:rsid w:val="77841637"/>
    <w:rsid w:val="779E7206"/>
    <w:rsid w:val="77A264B6"/>
    <w:rsid w:val="77B06153"/>
    <w:rsid w:val="77BD0090"/>
    <w:rsid w:val="77C153A8"/>
    <w:rsid w:val="77C77ED1"/>
    <w:rsid w:val="77C840CD"/>
    <w:rsid w:val="77CC5379"/>
    <w:rsid w:val="77DA1086"/>
    <w:rsid w:val="77DD4AB7"/>
    <w:rsid w:val="77E00DA6"/>
    <w:rsid w:val="77E24E65"/>
    <w:rsid w:val="77E305ED"/>
    <w:rsid w:val="77E837A3"/>
    <w:rsid w:val="77EA5A90"/>
    <w:rsid w:val="780F1012"/>
    <w:rsid w:val="78204235"/>
    <w:rsid w:val="782C7B34"/>
    <w:rsid w:val="78331DB7"/>
    <w:rsid w:val="783864FA"/>
    <w:rsid w:val="78410D53"/>
    <w:rsid w:val="78445968"/>
    <w:rsid w:val="78460561"/>
    <w:rsid w:val="78487B0A"/>
    <w:rsid w:val="784A1FDA"/>
    <w:rsid w:val="784D746F"/>
    <w:rsid w:val="78525AE8"/>
    <w:rsid w:val="78563E44"/>
    <w:rsid w:val="7858456A"/>
    <w:rsid w:val="785E2AC4"/>
    <w:rsid w:val="786372CE"/>
    <w:rsid w:val="787402A0"/>
    <w:rsid w:val="788A0B99"/>
    <w:rsid w:val="78914C76"/>
    <w:rsid w:val="7895362D"/>
    <w:rsid w:val="789B38F3"/>
    <w:rsid w:val="789C2D6F"/>
    <w:rsid w:val="789F5E87"/>
    <w:rsid w:val="78A9412A"/>
    <w:rsid w:val="78B20187"/>
    <w:rsid w:val="78C465EF"/>
    <w:rsid w:val="78C55550"/>
    <w:rsid w:val="790F56A3"/>
    <w:rsid w:val="79205472"/>
    <w:rsid w:val="79235AC6"/>
    <w:rsid w:val="792415BD"/>
    <w:rsid w:val="793531A4"/>
    <w:rsid w:val="79394671"/>
    <w:rsid w:val="793E7ED2"/>
    <w:rsid w:val="79423485"/>
    <w:rsid w:val="79434AD5"/>
    <w:rsid w:val="79476876"/>
    <w:rsid w:val="794B4E70"/>
    <w:rsid w:val="794C0530"/>
    <w:rsid w:val="794D05FC"/>
    <w:rsid w:val="795C46F3"/>
    <w:rsid w:val="795E17D4"/>
    <w:rsid w:val="796A2B2D"/>
    <w:rsid w:val="79745038"/>
    <w:rsid w:val="79751F99"/>
    <w:rsid w:val="79777CD8"/>
    <w:rsid w:val="797E7855"/>
    <w:rsid w:val="7997473B"/>
    <w:rsid w:val="79AF0F83"/>
    <w:rsid w:val="79AF395A"/>
    <w:rsid w:val="79B069B0"/>
    <w:rsid w:val="79BA693B"/>
    <w:rsid w:val="79DD09BA"/>
    <w:rsid w:val="79DE2513"/>
    <w:rsid w:val="79E47893"/>
    <w:rsid w:val="79F127F9"/>
    <w:rsid w:val="79F3642F"/>
    <w:rsid w:val="79F4788B"/>
    <w:rsid w:val="79F8358C"/>
    <w:rsid w:val="79FF526A"/>
    <w:rsid w:val="7A044B71"/>
    <w:rsid w:val="7A075145"/>
    <w:rsid w:val="7A0D4A8E"/>
    <w:rsid w:val="7A0E738E"/>
    <w:rsid w:val="7A141C9A"/>
    <w:rsid w:val="7A18001F"/>
    <w:rsid w:val="7A1B78FB"/>
    <w:rsid w:val="7A233EA2"/>
    <w:rsid w:val="7A2A5F3C"/>
    <w:rsid w:val="7A2F1845"/>
    <w:rsid w:val="7A3E33B9"/>
    <w:rsid w:val="7A511829"/>
    <w:rsid w:val="7A516EAE"/>
    <w:rsid w:val="7A5A200A"/>
    <w:rsid w:val="7A5C6D71"/>
    <w:rsid w:val="7A662403"/>
    <w:rsid w:val="7A7762FE"/>
    <w:rsid w:val="7A9074FC"/>
    <w:rsid w:val="7A91063F"/>
    <w:rsid w:val="7A937981"/>
    <w:rsid w:val="7A9F12F9"/>
    <w:rsid w:val="7AB51B3E"/>
    <w:rsid w:val="7AB63524"/>
    <w:rsid w:val="7AB970E8"/>
    <w:rsid w:val="7AC24E1F"/>
    <w:rsid w:val="7AC55B01"/>
    <w:rsid w:val="7ADB1AFC"/>
    <w:rsid w:val="7AE55B12"/>
    <w:rsid w:val="7AF46254"/>
    <w:rsid w:val="7AFE0B9E"/>
    <w:rsid w:val="7B0D0ED3"/>
    <w:rsid w:val="7B0E439B"/>
    <w:rsid w:val="7B2A40D3"/>
    <w:rsid w:val="7B364826"/>
    <w:rsid w:val="7B3F7778"/>
    <w:rsid w:val="7B432815"/>
    <w:rsid w:val="7B44687E"/>
    <w:rsid w:val="7B452056"/>
    <w:rsid w:val="7B462B0B"/>
    <w:rsid w:val="7B483F94"/>
    <w:rsid w:val="7B492B1D"/>
    <w:rsid w:val="7B557EBB"/>
    <w:rsid w:val="7B6E0463"/>
    <w:rsid w:val="7B864A65"/>
    <w:rsid w:val="7B8E5F5A"/>
    <w:rsid w:val="7BA53CB4"/>
    <w:rsid w:val="7BA836B2"/>
    <w:rsid w:val="7BB43B70"/>
    <w:rsid w:val="7BCC3E00"/>
    <w:rsid w:val="7BCD7514"/>
    <w:rsid w:val="7BE3128E"/>
    <w:rsid w:val="7C051F0A"/>
    <w:rsid w:val="7C0E543D"/>
    <w:rsid w:val="7C1C38AD"/>
    <w:rsid w:val="7C1F66E3"/>
    <w:rsid w:val="7C2B1EB0"/>
    <w:rsid w:val="7C306E63"/>
    <w:rsid w:val="7C371C52"/>
    <w:rsid w:val="7C3933EA"/>
    <w:rsid w:val="7C3D49BD"/>
    <w:rsid w:val="7C416306"/>
    <w:rsid w:val="7C452C4B"/>
    <w:rsid w:val="7C567B5E"/>
    <w:rsid w:val="7C583294"/>
    <w:rsid w:val="7C6947AF"/>
    <w:rsid w:val="7C7A574E"/>
    <w:rsid w:val="7C7C1AC3"/>
    <w:rsid w:val="7C866591"/>
    <w:rsid w:val="7C9328F0"/>
    <w:rsid w:val="7C952D35"/>
    <w:rsid w:val="7C9A7B5A"/>
    <w:rsid w:val="7CA22955"/>
    <w:rsid w:val="7CA752B4"/>
    <w:rsid w:val="7CA832C6"/>
    <w:rsid w:val="7CAA56C0"/>
    <w:rsid w:val="7CAD4692"/>
    <w:rsid w:val="7CB73F9E"/>
    <w:rsid w:val="7CB91FCA"/>
    <w:rsid w:val="7CC62A58"/>
    <w:rsid w:val="7CC6780B"/>
    <w:rsid w:val="7CC82336"/>
    <w:rsid w:val="7CC866DF"/>
    <w:rsid w:val="7CCA0A0A"/>
    <w:rsid w:val="7CEE219E"/>
    <w:rsid w:val="7CF8045D"/>
    <w:rsid w:val="7CFF725B"/>
    <w:rsid w:val="7D07647A"/>
    <w:rsid w:val="7D2540F8"/>
    <w:rsid w:val="7D381CD6"/>
    <w:rsid w:val="7D3B5B15"/>
    <w:rsid w:val="7D415F1C"/>
    <w:rsid w:val="7D494A9D"/>
    <w:rsid w:val="7D4B0A89"/>
    <w:rsid w:val="7D5422BC"/>
    <w:rsid w:val="7D593D9D"/>
    <w:rsid w:val="7D5F57C9"/>
    <w:rsid w:val="7D602AE2"/>
    <w:rsid w:val="7D6C75DF"/>
    <w:rsid w:val="7D703C07"/>
    <w:rsid w:val="7D755A72"/>
    <w:rsid w:val="7D782073"/>
    <w:rsid w:val="7D7C7924"/>
    <w:rsid w:val="7D87188A"/>
    <w:rsid w:val="7D8C045D"/>
    <w:rsid w:val="7D9B01F1"/>
    <w:rsid w:val="7DBB2321"/>
    <w:rsid w:val="7DBB79E8"/>
    <w:rsid w:val="7DC440B2"/>
    <w:rsid w:val="7DEA44CC"/>
    <w:rsid w:val="7DED5F5D"/>
    <w:rsid w:val="7DF2660F"/>
    <w:rsid w:val="7DF82C57"/>
    <w:rsid w:val="7DFF6831"/>
    <w:rsid w:val="7E0B1F99"/>
    <w:rsid w:val="7E1B2865"/>
    <w:rsid w:val="7E21686A"/>
    <w:rsid w:val="7E232B48"/>
    <w:rsid w:val="7E292420"/>
    <w:rsid w:val="7E2D63B4"/>
    <w:rsid w:val="7E45590C"/>
    <w:rsid w:val="7E4D3B76"/>
    <w:rsid w:val="7E4E5FB4"/>
    <w:rsid w:val="7E5721F7"/>
    <w:rsid w:val="7E6543CB"/>
    <w:rsid w:val="7E8A2A81"/>
    <w:rsid w:val="7EA14EE3"/>
    <w:rsid w:val="7EA54743"/>
    <w:rsid w:val="7EB55172"/>
    <w:rsid w:val="7EBC42AC"/>
    <w:rsid w:val="7EC72F90"/>
    <w:rsid w:val="7ECF6771"/>
    <w:rsid w:val="7ED246B2"/>
    <w:rsid w:val="7EDB7B58"/>
    <w:rsid w:val="7EE84B0A"/>
    <w:rsid w:val="7EEA13D1"/>
    <w:rsid w:val="7EF25076"/>
    <w:rsid w:val="7EFE0EFB"/>
    <w:rsid w:val="7EFE69A4"/>
    <w:rsid w:val="7F033168"/>
    <w:rsid w:val="7F0B46C3"/>
    <w:rsid w:val="7F1A46F1"/>
    <w:rsid w:val="7F211349"/>
    <w:rsid w:val="7F230DE3"/>
    <w:rsid w:val="7F25290C"/>
    <w:rsid w:val="7F31451D"/>
    <w:rsid w:val="7F5230FB"/>
    <w:rsid w:val="7F5323F4"/>
    <w:rsid w:val="7F655282"/>
    <w:rsid w:val="7F724318"/>
    <w:rsid w:val="7F76547C"/>
    <w:rsid w:val="7F7E58C3"/>
    <w:rsid w:val="7F8518D8"/>
    <w:rsid w:val="7F9B5D29"/>
    <w:rsid w:val="7F9E7E8B"/>
    <w:rsid w:val="7FA14FAF"/>
    <w:rsid w:val="7FCC5968"/>
    <w:rsid w:val="7FDE793C"/>
    <w:rsid w:val="7FE439D5"/>
    <w:rsid w:val="7FFC0707"/>
    <w:rsid w:val="7FFF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nhideWhenUsed="0" w:uiPriority="0" w:semiHidden="0" w:name="HTML Sample"/>
    <w:lsdException w:qFormat="1" w:uiPriority="99" w:name="HTML Typewriter"/>
    <w:lsdException w:qFormat="1"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2">
    <w:name w:val="heading 1"/>
    <w:basedOn w:val="1"/>
    <w:link w:val="74"/>
    <w:qFormat/>
    <w:uiPriority w:val="0"/>
    <w:pPr>
      <w:keepNext/>
      <w:keepLines/>
      <w:spacing w:line="360" w:lineRule="auto"/>
      <w:outlineLvl w:val="0"/>
    </w:pPr>
    <w:rPr>
      <w:rFonts w:ascii="Times New Roman"/>
      <w:b/>
      <w:bCs/>
      <w:kern w:val="44"/>
      <w:sz w:val="32"/>
      <w:szCs w:val="44"/>
    </w:rPr>
  </w:style>
  <w:style w:type="paragraph" w:styleId="3">
    <w:name w:val="heading 2"/>
    <w:basedOn w:val="1"/>
    <w:link w:val="75"/>
    <w:qFormat/>
    <w:uiPriority w:val="0"/>
    <w:pPr>
      <w:keepNext/>
      <w:keepLines/>
      <w:spacing w:before="260" w:after="260" w:line="416" w:lineRule="auto"/>
      <w:outlineLvl w:val="1"/>
    </w:pPr>
    <w:rPr>
      <w:rFonts w:ascii="Cambria" w:hAnsi="Cambria"/>
      <w:b/>
      <w:bCs/>
      <w:kern w:val="2"/>
      <w:sz w:val="32"/>
      <w:szCs w:val="32"/>
    </w:rPr>
  </w:style>
  <w:style w:type="paragraph" w:styleId="4">
    <w:name w:val="heading 3"/>
    <w:basedOn w:val="1"/>
    <w:link w:val="76"/>
    <w:qFormat/>
    <w:uiPriority w:val="0"/>
    <w:pPr>
      <w:keepNext/>
      <w:keepLines/>
      <w:spacing w:before="120" w:after="120" w:line="360" w:lineRule="auto"/>
      <w:jc w:val="left"/>
      <w:outlineLvl w:val="2"/>
    </w:pPr>
    <w:rPr>
      <w:rFonts w:ascii="黑体" w:hAnsi="黑体" w:eastAsia="黑体"/>
      <w:bCs/>
      <w:kern w:val="2"/>
      <w:szCs w:val="24"/>
    </w:rPr>
  </w:style>
  <w:style w:type="paragraph" w:styleId="5">
    <w:name w:val="heading 4"/>
    <w:basedOn w:val="1"/>
    <w:link w:val="77"/>
    <w:qFormat/>
    <w:uiPriority w:val="0"/>
    <w:pPr>
      <w:keepNext/>
      <w:keepLines/>
      <w:spacing w:before="120" w:after="120" w:line="360" w:lineRule="auto"/>
      <w:ind w:firstLine="420" w:firstLineChars="200"/>
      <w:outlineLvl w:val="3"/>
    </w:pPr>
    <w:rPr>
      <w:rFonts w:ascii="Arial" w:hAnsi="Arial" w:eastAsia="黑体"/>
      <w:bCs/>
      <w:kern w:val="2"/>
      <w:sz w:val="21"/>
      <w:szCs w:val="28"/>
    </w:rPr>
  </w:style>
  <w:style w:type="paragraph" w:styleId="6">
    <w:name w:val="heading 5"/>
    <w:basedOn w:val="1"/>
    <w:link w:val="78"/>
    <w:qFormat/>
    <w:uiPriority w:val="0"/>
    <w:pPr>
      <w:keepNext/>
      <w:keepLines/>
      <w:spacing w:before="280" w:after="290" w:line="376" w:lineRule="auto"/>
      <w:outlineLvl w:val="4"/>
    </w:pPr>
    <w:rPr>
      <w:rFonts w:ascii="Calibri" w:hAnsi="Calibri"/>
      <w:b/>
      <w:bCs/>
      <w:kern w:val="2"/>
      <w:sz w:val="28"/>
      <w:szCs w:val="28"/>
    </w:rPr>
  </w:style>
  <w:style w:type="paragraph" w:styleId="7">
    <w:name w:val="heading 6"/>
    <w:basedOn w:val="6"/>
    <w:link w:val="79"/>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link w:val="80"/>
    <w:qFormat/>
    <w:uiPriority w:val="0"/>
    <w:pPr>
      <w:tabs>
        <w:tab w:val="left" w:pos="1800"/>
        <w:tab w:val="clear" w:pos="1440"/>
      </w:tabs>
      <w:ind w:left="1276" w:hanging="1276"/>
      <w:outlineLvl w:val="6"/>
    </w:pPr>
  </w:style>
  <w:style w:type="paragraph" w:styleId="9">
    <w:name w:val="heading 8"/>
    <w:basedOn w:val="1"/>
    <w:link w:val="81"/>
    <w:qFormat/>
    <w:uiPriority w:val="0"/>
    <w:pPr>
      <w:keepNext/>
      <w:keepLines/>
      <w:spacing w:line="400" w:lineRule="exact"/>
      <w:jc w:val="center"/>
      <w:outlineLvl w:val="7"/>
    </w:pPr>
    <w:rPr>
      <w:rFonts w:hAnsi="宋体" w:eastAsia="黑体"/>
      <w:kern w:val="2"/>
      <w:sz w:val="32"/>
      <w:szCs w:val="32"/>
    </w:rPr>
  </w:style>
  <w:style w:type="paragraph" w:styleId="10">
    <w:name w:val="heading 9"/>
    <w:basedOn w:val="1"/>
    <w:link w:val="82"/>
    <w:qFormat/>
    <w:uiPriority w:val="0"/>
    <w:pPr>
      <w:keepNext/>
      <w:keepLines/>
      <w:spacing w:before="240" w:after="64" w:line="320" w:lineRule="auto"/>
      <w:outlineLvl w:val="8"/>
    </w:pPr>
    <w:rPr>
      <w:rFonts w:ascii="Cambria" w:hAnsi="Cambria"/>
      <w:kern w:val="2"/>
      <w:sz w:val="21"/>
      <w:szCs w:val="21"/>
    </w:rPr>
  </w:style>
  <w:style w:type="character" w:default="1" w:styleId="56">
    <w:name w:val="Default Paragraph Font"/>
    <w:semiHidden/>
    <w:unhideWhenUsed/>
    <w:qFormat/>
    <w:uiPriority w:val="1"/>
  </w:style>
  <w:style w:type="table" w:default="1" w:styleId="54">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ind w:left="100" w:leftChars="400" w:hanging="200" w:hangingChars="200"/>
    </w:pPr>
    <w:rPr>
      <w:rFonts w:ascii="Calibri" w:hAnsi="Calibri"/>
      <w:szCs w:val="22"/>
    </w:rPr>
  </w:style>
  <w:style w:type="paragraph" w:styleId="12">
    <w:name w:val="toc 7"/>
    <w:basedOn w:val="1"/>
    <w:unhideWhenUsed/>
    <w:qFormat/>
    <w:uiPriority w:val="39"/>
    <w:pPr>
      <w:ind w:left="1260"/>
      <w:jc w:val="left"/>
    </w:pPr>
    <w:rPr>
      <w:rFonts w:ascii="Calibri" w:hAnsi="Calibri" w:cs="Calibri"/>
      <w:sz w:val="18"/>
      <w:szCs w:val="18"/>
    </w:rPr>
  </w:style>
  <w:style w:type="paragraph" w:styleId="13">
    <w:name w:val="Normal Indent"/>
    <w:basedOn w:val="1"/>
    <w:link w:val="83"/>
    <w:qFormat/>
    <w:uiPriority w:val="0"/>
    <w:pPr>
      <w:ind w:firstLine="420" w:firstLineChars="200"/>
    </w:pPr>
  </w:style>
  <w:style w:type="paragraph" w:styleId="14">
    <w:name w:val="caption"/>
    <w:basedOn w:val="1"/>
    <w:qFormat/>
    <w:uiPriority w:val="0"/>
    <w:pPr>
      <w:spacing w:before="152" w:after="160"/>
    </w:pPr>
    <w:rPr>
      <w:rFonts w:ascii="Arial" w:hAnsi="Arial" w:eastAsia="黑体" w:cs="Arial"/>
      <w:sz w:val="20"/>
    </w:rPr>
  </w:style>
  <w:style w:type="paragraph" w:styleId="15">
    <w:name w:val="Document Map"/>
    <w:basedOn w:val="1"/>
    <w:link w:val="84"/>
    <w:qFormat/>
    <w:uiPriority w:val="0"/>
    <w:pPr>
      <w:shd w:val="clear" w:color="auto" w:fill="000080"/>
    </w:pPr>
    <w:rPr>
      <w:rFonts w:ascii="Calibri" w:hAnsi="Calibri"/>
      <w:bCs/>
      <w:kern w:val="2"/>
      <w:sz w:val="21"/>
      <w:szCs w:val="32"/>
    </w:rPr>
  </w:style>
  <w:style w:type="paragraph" w:styleId="16">
    <w:name w:val="annotation text"/>
    <w:basedOn w:val="1"/>
    <w:link w:val="85"/>
    <w:qFormat/>
    <w:uiPriority w:val="0"/>
    <w:pPr>
      <w:adjustRightInd w:val="0"/>
      <w:spacing w:line="360" w:lineRule="atLeast"/>
      <w:jc w:val="left"/>
    </w:pPr>
    <w:rPr>
      <w:rFonts w:ascii="Times New Roman"/>
    </w:rPr>
  </w:style>
  <w:style w:type="paragraph" w:styleId="17">
    <w:name w:val="Salutation"/>
    <w:basedOn w:val="1"/>
    <w:link w:val="86"/>
    <w:qFormat/>
    <w:uiPriority w:val="0"/>
    <w:rPr>
      <w:rFonts w:ascii="仿宋_GB2312" w:eastAsia="仿宋_GB2312"/>
      <w:kern w:val="2"/>
      <w:sz w:val="28"/>
    </w:rPr>
  </w:style>
  <w:style w:type="paragraph" w:styleId="18">
    <w:name w:val="Body Text 3"/>
    <w:basedOn w:val="1"/>
    <w:link w:val="87"/>
    <w:qFormat/>
    <w:uiPriority w:val="0"/>
    <w:pPr>
      <w:adjustRightInd w:val="0"/>
      <w:snapToGrid w:val="0"/>
    </w:pPr>
    <w:rPr>
      <w:rFonts w:ascii="仿宋_GB2312" w:hAnsi="宋体" w:eastAsia="仿宋_GB2312"/>
      <w:bCs/>
      <w:color w:val="000000"/>
      <w:kern w:val="2"/>
      <w:szCs w:val="32"/>
    </w:rPr>
  </w:style>
  <w:style w:type="paragraph" w:styleId="19">
    <w:name w:val="Body Text"/>
    <w:basedOn w:val="1"/>
    <w:link w:val="88"/>
    <w:qFormat/>
    <w:uiPriority w:val="0"/>
    <w:pPr>
      <w:spacing w:after="120"/>
    </w:pPr>
    <w:rPr>
      <w:rFonts w:ascii="Times New Roman"/>
      <w:kern w:val="2"/>
      <w:sz w:val="21"/>
      <w:szCs w:val="24"/>
    </w:rPr>
  </w:style>
  <w:style w:type="paragraph" w:styleId="20">
    <w:name w:val="Body Text Indent"/>
    <w:basedOn w:val="1"/>
    <w:link w:val="89"/>
    <w:qFormat/>
    <w:uiPriority w:val="0"/>
    <w:pPr>
      <w:ind w:firstLine="560" w:firstLineChars="200"/>
    </w:pPr>
    <w:rPr>
      <w:rFonts w:hAnsi="宋体"/>
      <w:bCs/>
      <w:kern w:val="2"/>
      <w:sz w:val="28"/>
      <w:szCs w:val="32"/>
    </w:rPr>
  </w:style>
  <w:style w:type="paragraph" w:styleId="21">
    <w:name w:val="List 2"/>
    <w:basedOn w:val="1"/>
    <w:qFormat/>
    <w:uiPriority w:val="0"/>
    <w:pPr>
      <w:ind w:left="100" w:leftChars="200" w:hanging="200" w:hangingChars="200"/>
    </w:pPr>
    <w:rPr>
      <w:rFonts w:ascii="Calibri" w:hAnsi="Calibri"/>
      <w:szCs w:val="22"/>
    </w:rPr>
  </w:style>
  <w:style w:type="paragraph" w:styleId="22">
    <w:name w:val="List Continue"/>
    <w:basedOn w:val="1"/>
    <w:qFormat/>
    <w:uiPriority w:val="0"/>
    <w:pPr>
      <w:spacing w:after="120"/>
      <w:ind w:left="420" w:leftChars="200"/>
    </w:pPr>
    <w:rPr>
      <w:rFonts w:ascii="Calibri" w:hAnsi="Calibri"/>
      <w:szCs w:val="22"/>
    </w:rPr>
  </w:style>
  <w:style w:type="paragraph" w:styleId="23">
    <w:name w:val="Block Text"/>
    <w:basedOn w:val="1"/>
    <w:qFormat/>
    <w:uiPriority w:val="0"/>
    <w:pPr>
      <w:autoSpaceDE w:val="0"/>
      <w:autoSpaceDN w:val="0"/>
      <w:adjustRightInd w:val="0"/>
      <w:spacing w:line="1270" w:lineRule="exact"/>
      <w:ind w:left="2160" w:right="-20" w:hanging="2160" w:hangingChars="300"/>
      <w:jc w:val="left"/>
    </w:pPr>
    <w:rPr>
      <w:rFonts w:ascii="Calibri" w:hAnsi="Calibri" w:eastAsia="仿宋_GB2312"/>
      <w:sz w:val="72"/>
    </w:rPr>
  </w:style>
  <w:style w:type="paragraph" w:styleId="24">
    <w:name w:val="index 4"/>
    <w:basedOn w:val="1"/>
    <w:qFormat/>
    <w:uiPriority w:val="0"/>
    <w:pPr>
      <w:ind w:left="600" w:leftChars="600"/>
    </w:pPr>
  </w:style>
  <w:style w:type="paragraph" w:styleId="25">
    <w:name w:val="toc 5"/>
    <w:basedOn w:val="1"/>
    <w:unhideWhenUsed/>
    <w:qFormat/>
    <w:uiPriority w:val="39"/>
    <w:pPr>
      <w:ind w:left="840"/>
      <w:jc w:val="left"/>
    </w:pPr>
    <w:rPr>
      <w:rFonts w:ascii="Calibri" w:hAnsi="Calibri" w:cs="Calibri"/>
      <w:sz w:val="18"/>
      <w:szCs w:val="18"/>
    </w:rPr>
  </w:style>
  <w:style w:type="paragraph" w:styleId="26">
    <w:name w:val="toc 3"/>
    <w:basedOn w:val="1"/>
    <w:qFormat/>
    <w:uiPriority w:val="39"/>
    <w:pPr>
      <w:ind w:left="420"/>
      <w:jc w:val="left"/>
    </w:pPr>
    <w:rPr>
      <w:rFonts w:ascii="Calibri" w:hAnsi="Calibri" w:cs="Calibri"/>
      <w:i/>
      <w:iCs/>
      <w:sz w:val="20"/>
    </w:rPr>
  </w:style>
  <w:style w:type="paragraph" w:styleId="27">
    <w:name w:val="Plain Text"/>
    <w:basedOn w:val="1"/>
    <w:link w:val="103"/>
    <w:qFormat/>
    <w:uiPriority w:val="0"/>
    <w:rPr>
      <w:rFonts w:ascii="Courier New" w:hAnsi="Courier New"/>
      <w:kern w:val="2"/>
      <w:sz w:val="21"/>
    </w:rPr>
  </w:style>
  <w:style w:type="paragraph" w:styleId="28">
    <w:name w:val="toc 8"/>
    <w:basedOn w:val="1"/>
    <w:unhideWhenUsed/>
    <w:qFormat/>
    <w:uiPriority w:val="39"/>
    <w:pPr>
      <w:ind w:left="1470"/>
      <w:jc w:val="left"/>
    </w:pPr>
    <w:rPr>
      <w:rFonts w:ascii="Calibri" w:hAnsi="Calibri" w:cs="Calibri"/>
      <w:sz w:val="18"/>
      <w:szCs w:val="18"/>
    </w:rPr>
  </w:style>
  <w:style w:type="paragraph" w:styleId="29">
    <w:name w:val="Date"/>
    <w:basedOn w:val="1"/>
    <w:link w:val="91"/>
    <w:unhideWhenUsed/>
    <w:qFormat/>
    <w:uiPriority w:val="0"/>
    <w:pPr>
      <w:ind w:left="100" w:leftChars="2500"/>
    </w:pPr>
    <w:rPr>
      <w:rFonts w:ascii="Times New Roman"/>
      <w:kern w:val="2"/>
      <w:sz w:val="21"/>
      <w:szCs w:val="24"/>
    </w:rPr>
  </w:style>
  <w:style w:type="paragraph" w:styleId="30">
    <w:name w:val="Body Text Indent 2"/>
    <w:basedOn w:val="1"/>
    <w:link w:val="92"/>
    <w:qFormat/>
    <w:uiPriority w:val="0"/>
    <w:pPr>
      <w:widowControl/>
      <w:overflowPunct w:val="0"/>
      <w:autoSpaceDE w:val="0"/>
      <w:autoSpaceDN w:val="0"/>
      <w:adjustRightInd w:val="0"/>
      <w:spacing w:line="360" w:lineRule="auto"/>
      <w:ind w:firstLine="555"/>
    </w:pPr>
    <w:rPr>
      <w:rFonts w:hAnsi="Microsoft Sans Serif"/>
      <w:bCs/>
      <w:spacing w:val="12"/>
    </w:rPr>
  </w:style>
  <w:style w:type="paragraph" w:styleId="31">
    <w:name w:val="Balloon Text"/>
    <w:basedOn w:val="1"/>
    <w:link w:val="93"/>
    <w:qFormat/>
    <w:uiPriority w:val="0"/>
    <w:rPr>
      <w:rFonts w:ascii="Times New Roman"/>
      <w:kern w:val="2"/>
      <w:sz w:val="18"/>
    </w:rPr>
  </w:style>
  <w:style w:type="paragraph" w:styleId="32">
    <w:name w:val="footer"/>
    <w:basedOn w:val="1"/>
    <w:link w:val="94"/>
    <w:qFormat/>
    <w:uiPriority w:val="99"/>
    <w:pPr>
      <w:tabs>
        <w:tab w:val="center" w:pos="4153"/>
        <w:tab w:val="right" w:pos="8306"/>
      </w:tabs>
      <w:snapToGrid w:val="0"/>
      <w:jc w:val="left"/>
    </w:pPr>
    <w:rPr>
      <w:rFonts w:ascii="Times New Roman"/>
      <w:kern w:val="2"/>
      <w:sz w:val="18"/>
      <w:szCs w:val="18"/>
    </w:rPr>
  </w:style>
  <w:style w:type="paragraph" w:styleId="33">
    <w:name w:val="envelope return"/>
    <w:basedOn w:val="1"/>
    <w:qFormat/>
    <w:uiPriority w:val="0"/>
    <w:pPr>
      <w:snapToGrid w:val="0"/>
    </w:pPr>
    <w:rPr>
      <w:rFonts w:ascii="Arial" w:hAnsi="Arial" w:cs="Arial"/>
      <w:kern w:val="2"/>
      <w:sz w:val="21"/>
      <w:szCs w:val="24"/>
    </w:rPr>
  </w:style>
  <w:style w:type="paragraph" w:styleId="34">
    <w:name w:val="header"/>
    <w:basedOn w:val="1"/>
    <w:link w:val="95"/>
    <w:qFormat/>
    <w:uiPriority w:val="0"/>
    <w:pPr>
      <w:pBdr>
        <w:bottom w:val="single" w:color="auto" w:sz="6" w:space="0"/>
      </w:pBdr>
      <w:tabs>
        <w:tab w:val="center" w:pos="4153"/>
        <w:tab w:val="right" w:pos="8306"/>
      </w:tabs>
      <w:snapToGrid w:val="0"/>
      <w:jc w:val="center"/>
    </w:pPr>
    <w:rPr>
      <w:rFonts w:ascii="Times New Roman"/>
      <w:kern w:val="2"/>
      <w:sz w:val="18"/>
      <w:szCs w:val="18"/>
    </w:rPr>
  </w:style>
  <w:style w:type="paragraph" w:styleId="35">
    <w:name w:val="toc 1"/>
    <w:basedOn w:val="1"/>
    <w:qFormat/>
    <w:uiPriority w:val="39"/>
    <w:pPr>
      <w:spacing w:before="120" w:after="120"/>
      <w:jc w:val="left"/>
    </w:pPr>
    <w:rPr>
      <w:rFonts w:ascii="Calibri" w:hAnsi="Calibri" w:cs="Calibri"/>
      <w:b/>
      <w:bCs/>
      <w:caps/>
      <w:sz w:val="20"/>
    </w:rPr>
  </w:style>
  <w:style w:type="paragraph" w:styleId="36">
    <w:name w:val="List Continue 4"/>
    <w:basedOn w:val="1"/>
    <w:qFormat/>
    <w:uiPriority w:val="0"/>
    <w:pPr>
      <w:spacing w:after="120"/>
      <w:ind w:left="1680" w:leftChars="800"/>
    </w:pPr>
    <w:rPr>
      <w:rFonts w:ascii="Calibri" w:hAnsi="Calibri"/>
      <w:szCs w:val="22"/>
    </w:rPr>
  </w:style>
  <w:style w:type="paragraph" w:styleId="37">
    <w:name w:val="toc 4"/>
    <w:basedOn w:val="1"/>
    <w:unhideWhenUsed/>
    <w:qFormat/>
    <w:uiPriority w:val="39"/>
    <w:pPr>
      <w:ind w:left="630"/>
      <w:jc w:val="left"/>
    </w:pPr>
    <w:rPr>
      <w:rFonts w:ascii="Calibri" w:hAnsi="Calibri" w:cs="Calibri"/>
      <w:sz w:val="18"/>
      <w:szCs w:val="18"/>
    </w:rPr>
  </w:style>
  <w:style w:type="paragraph" w:styleId="38">
    <w:name w:val="index heading"/>
    <w:basedOn w:val="1"/>
    <w:qFormat/>
    <w:uiPriority w:val="0"/>
  </w:style>
  <w:style w:type="paragraph" w:styleId="39">
    <w:name w:val="Subtitle"/>
    <w:basedOn w:val="1"/>
    <w:link w:val="96"/>
    <w:qFormat/>
    <w:uiPriority w:val="0"/>
    <w:pPr>
      <w:spacing w:before="240" w:after="60" w:line="312" w:lineRule="auto"/>
      <w:jc w:val="center"/>
      <w:outlineLvl w:val="1"/>
    </w:pPr>
    <w:rPr>
      <w:rFonts w:ascii="Arial" w:hAnsi="Arial"/>
      <w:b/>
      <w:bCs/>
      <w:kern w:val="28"/>
      <w:sz w:val="32"/>
      <w:szCs w:val="32"/>
    </w:rPr>
  </w:style>
  <w:style w:type="paragraph" w:styleId="40">
    <w:name w:val="List"/>
    <w:basedOn w:val="1"/>
    <w:qFormat/>
    <w:uiPriority w:val="0"/>
    <w:pPr>
      <w:ind w:left="200" w:hanging="200" w:hangingChars="200"/>
    </w:pPr>
    <w:rPr>
      <w:rFonts w:ascii="Calibri" w:hAnsi="Calibri"/>
      <w:szCs w:val="22"/>
    </w:rPr>
  </w:style>
  <w:style w:type="paragraph" w:styleId="41">
    <w:name w:val="footnote text"/>
    <w:basedOn w:val="1"/>
    <w:link w:val="97"/>
    <w:unhideWhenUsed/>
    <w:qFormat/>
    <w:uiPriority w:val="0"/>
    <w:pPr>
      <w:snapToGrid w:val="0"/>
      <w:jc w:val="left"/>
    </w:pPr>
    <w:rPr>
      <w:rFonts w:ascii="Times New Roman"/>
      <w:kern w:val="2"/>
      <w:sz w:val="18"/>
      <w:szCs w:val="18"/>
    </w:rPr>
  </w:style>
  <w:style w:type="paragraph" w:styleId="42">
    <w:name w:val="toc 6"/>
    <w:basedOn w:val="1"/>
    <w:unhideWhenUsed/>
    <w:qFormat/>
    <w:uiPriority w:val="39"/>
    <w:pPr>
      <w:ind w:left="1050"/>
      <w:jc w:val="left"/>
    </w:pPr>
    <w:rPr>
      <w:rFonts w:ascii="Calibri" w:hAnsi="Calibri" w:cs="Calibri"/>
      <w:sz w:val="18"/>
      <w:szCs w:val="18"/>
    </w:rPr>
  </w:style>
  <w:style w:type="paragraph" w:styleId="43">
    <w:name w:val="Body Text Indent 3"/>
    <w:basedOn w:val="1"/>
    <w:link w:val="98"/>
    <w:qFormat/>
    <w:uiPriority w:val="0"/>
    <w:pPr>
      <w:widowControl/>
      <w:overflowPunct w:val="0"/>
      <w:autoSpaceDE w:val="0"/>
      <w:autoSpaceDN w:val="0"/>
      <w:adjustRightInd w:val="0"/>
      <w:spacing w:line="360" w:lineRule="auto"/>
      <w:ind w:firstLine="540"/>
    </w:pPr>
    <w:rPr>
      <w:rFonts w:hAnsi="Microsoft Sans Serif"/>
      <w:bCs/>
      <w:color w:val="000000"/>
    </w:rPr>
  </w:style>
  <w:style w:type="paragraph" w:styleId="44">
    <w:name w:val="toc 2"/>
    <w:basedOn w:val="1"/>
    <w:qFormat/>
    <w:uiPriority w:val="39"/>
    <w:pPr>
      <w:ind w:left="210"/>
      <w:jc w:val="left"/>
    </w:pPr>
    <w:rPr>
      <w:rFonts w:ascii="Calibri" w:hAnsi="Calibri" w:cs="Calibri"/>
      <w:sz w:val="20"/>
    </w:rPr>
  </w:style>
  <w:style w:type="paragraph" w:styleId="45">
    <w:name w:val="toc 9"/>
    <w:basedOn w:val="1"/>
    <w:unhideWhenUsed/>
    <w:qFormat/>
    <w:uiPriority w:val="39"/>
    <w:pPr>
      <w:ind w:left="1680"/>
      <w:jc w:val="left"/>
    </w:pPr>
    <w:rPr>
      <w:rFonts w:ascii="Calibri" w:hAnsi="Calibri" w:cs="Calibri"/>
      <w:sz w:val="18"/>
      <w:szCs w:val="18"/>
    </w:rPr>
  </w:style>
  <w:style w:type="paragraph" w:styleId="46">
    <w:name w:val="Body Text 2"/>
    <w:basedOn w:val="1"/>
    <w:link w:val="99"/>
    <w:qFormat/>
    <w:uiPriority w:val="0"/>
    <w:pPr>
      <w:spacing w:line="360" w:lineRule="auto"/>
    </w:pPr>
    <w:rPr>
      <w:spacing w:val="-20"/>
      <w:kern w:val="2"/>
      <w:sz w:val="28"/>
    </w:rPr>
  </w:style>
  <w:style w:type="paragraph" w:styleId="47">
    <w:name w:val="List 4"/>
    <w:basedOn w:val="1"/>
    <w:qFormat/>
    <w:uiPriority w:val="0"/>
    <w:pPr>
      <w:ind w:left="100" w:leftChars="600" w:hanging="200" w:hangingChars="200"/>
    </w:pPr>
    <w:rPr>
      <w:rFonts w:ascii="Calibri" w:hAnsi="Calibri"/>
      <w:szCs w:val="22"/>
    </w:rPr>
  </w:style>
  <w:style w:type="paragraph" w:styleId="48">
    <w:name w:val="List Continue 2"/>
    <w:basedOn w:val="1"/>
    <w:qFormat/>
    <w:uiPriority w:val="0"/>
    <w:pPr>
      <w:spacing w:after="120"/>
      <w:ind w:left="840" w:leftChars="400"/>
    </w:pPr>
    <w:rPr>
      <w:rFonts w:ascii="Calibri" w:hAnsi="Calibri"/>
      <w:szCs w:val="22"/>
    </w:rPr>
  </w:style>
  <w:style w:type="paragraph" w:styleId="49">
    <w:name w:val="Normal (Web)"/>
    <w:basedOn w:val="1"/>
    <w:qFormat/>
    <w:uiPriority w:val="99"/>
    <w:pPr>
      <w:widowControl/>
      <w:spacing w:before="100" w:beforeAutospacing="1" w:after="100" w:afterAutospacing="1"/>
      <w:jc w:val="left"/>
    </w:pPr>
    <w:rPr>
      <w:rFonts w:hAnsi="宋体" w:cs="宋体"/>
      <w:color w:val="0066CC"/>
    </w:rPr>
  </w:style>
  <w:style w:type="paragraph" w:styleId="50">
    <w:name w:val="index 1"/>
    <w:basedOn w:val="1"/>
    <w:semiHidden/>
    <w:qFormat/>
    <w:uiPriority w:val="0"/>
  </w:style>
  <w:style w:type="paragraph" w:styleId="51">
    <w:name w:val="Title"/>
    <w:basedOn w:val="3"/>
    <w:link w:val="100"/>
    <w:qFormat/>
    <w:uiPriority w:val="0"/>
    <w:pPr>
      <w:spacing w:before="0" w:after="0" w:line="360" w:lineRule="auto"/>
      <w:jc w:val="center"/>
    </w:pPr>
    <w:rPr>
      <w:rFonts w:ascii="宋体" w:hAnsi="宋体" w:eastAsia="黑体"/>
      <w:bCs w:val="0"/>
      <w:sz w:val="44"/>
      <w:szCs w:val="24"/>
    </w:rPr>
  </w:style>
  <w:style w:type="paragraph" w:styleId="52">
    <w:name w:val="annotation subject"/>
    <w:basedOn w:val="16"/>
    <w:link w:val="101"/>
    <w:qFormat/>
    <w:uiPriority w:val="0"/>
    <w:pPr>
      <w:adjustRightInd/>
      <w:spacing w:line="240" w:lineRule="auto"/>
    </w:pPr>
    <w:rPr>
      <w:b/>
      <w:bCs/>
      <w:kern w:val="2"/>
      <w:sz w:val="21"/>
      <w:szCs w:val="24"/>
    </w:rPr>
  </w:style>
  <w:style w:type="paragraph" w:styleId="53">
    <w:name w:val="Body Text First Indent 2"/>
    <w:basedOn w:val="20"/>
    <w:link w:val="102"/>
    <w:qFormat/>
    <w:uiPriority w:val="0"/>
    <w:pPr>
      <w:spacing w:after="120"/>
      <w:ind w:left="420" w:leftChars="200" w:firstLine="420"/>
    </w:pPr>
    <w:rPr>
      <w:rFonts w:ascii="Times New Roman" w:hAnsi="Times New Roman"/>
      <w:bCs w:val="0"/>
      <w:kern w:val="0"/>
      <w:sz w:val="20"/>
      <w:szCs w:val="20"/>
    </w:rPr>
  </w:style>
  <w:style w:type="table" w:styleId="55">
    <w:name w:val="Table Grid"/>
    <w:basedOn w:val="5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7">
    <w:name w:val="Strong"/>
    <w:qFormat/>
    <w:uiPriority w:val="0"/>
    <w:rPr>
      <w:b/>
      <w:bCs/>
    </w:rPr>
  </w:style>
  <w:style w:type="character" w:styleId="58">
    <w:name w:val="page number"/>
    <w:qFormat/>
    <w:uiPriority w:val="0"/>
  </w:style>
  <w:style w:type="character" w:styleId="59">
    <w:name w:val="FollowedHyperlink"/>
    <w:qFormat/>
    <w:uiPriority w:val="99"/>
    <w:rPr>
      <w:color w:val="333333"/>
      <w:u w:val="none"/>
    </w:rPr>
  </w:style>
  <w:style w:type="character" w:styleId="60">
    <w:name w:val="Emphasis"/>
    <w:qFormat/>
    <w:uiPriority w:val="0"/>
    <w:rPr>
      <w:i/>
      <w:iCs/>
    </w:rPr>
  </w:style>
  <w:style w:type="character" w:styleId="61">
    <w:name w:val="HTML Definition"/>
    <w:unhideWhenUsed/>
    <w:qFormat/>
    <w:uiPriority w:val="99"/>
    <w:rPr>
      <w:i/>
      <w:iCs/>
    </w:rPr>
  </w:style>
  <w:style w:type="character" w:styleId="62">
    <w:name w:val="HTML Typewriter"/>
    <w:basedOn w:val="56"/>
    <w:semiHidden/>
    <w:unhideWhenUsed/>
    <w:qFormat/>
    <w:uiPriority w:val="99"/>
    <w:rPr>
      <w:rFonts w:ascii="monospace" w:hAnsi="monospace" w:eastAsia="monospace" w:cs="monospace"/>
      <w:sz w:val="20"/>
    </w:rPr>
  </w:style>
  <w:style w:type="character" w:styleId="63">
    <w:name w:val="HTML Acronym"/>
    <w:basedOn w:val="56"/>
    <w:unhideWhenUsed/>
    <w:qFormat/>
    <w:uiPriority w:val="99"/>
    <w:rPr>
      <w:vanish/>
    </w:rPr>
  </w:style>
  <w:style w:type="character" w:styleId="64">
    <w:name w:val="HTML Variable"/>
    <w:unhideWhenUsed/>
    <w:qFormat/>
    <w:uiPriority w:val="99"/>
  </w:style>
  <w:style w:type="character" w:styleId="65">
    <w:name w:val="Hyperlink"/>
    <w:qFormat/>
    <w:uiPriority w:val="99"/>
    <w:rPr>
      <w:color w:val="333333"/>
      <w:u w:val="none"/>
    </w:rPr>
  </w:style>
  <w:style w:type="character" w:styleId="66">
    <w:name w:val="HTML Code"/>
    <w:unhideWhenUsed/>
    <w:qFormat/>
    <w:uiPriority w:val="99"/>
    <w:rPr>
      <w:rFonts w:ascii="monospace" w:hAnsi="monospace" w:eastAsia="monospace" w:cs="monospace"/>
      <w:sz w:val="21"/>
      <w:szCs w:val="21"/>
    </w:rPr>
  </w:style>
  <w:style w:type="character" w:styleId="67">
    <w:name w:val="annotation reference"/>
    <w:qFormat/>
    <w:uiPriority w:val="0"/>
    <w:rPr>
      <w:sz w:val="21"/>
    </w:rPr>
  </w:style>
  <w:style w:type="character" w:styleId="68">
    <w:name w:val="HTML Cite"/>
    <w:unhideWhenUsed/>
    <w:qFormat/>
    <w:uiPriority w:val="99"/>
  </w:style>
  <w:style w:type="character" w:styleId="69">
    <w:name w:val="footnote reference"/>
    <w:unhideWhenUsed/>
    <w:qFormat/>
    <w:uiPriority w:val="0"/>
    <w:rPr>
      <w:vertAlign w:val="superscript"/>
    </w:rPr>
  </w:style>
  <w:style w:type="character" w:styleId="70">
    <w:name w:val="HTML Keyboard"/>
    <w:unhideWhenUsed/>
    <w:qFormat/>
    <w:uiPriority w:val="99"/>
    <w:rPr>
      <w:rFonts w:hint="default" w:ascii="monospace" w:hAnsi="monospace" w:eastAsia="monospace" w:cs="monospace"/>
      <w:sz w:val="21"/>
      <w:szCs w:val="21"/>
    </w:rPr>
  </w:style>
  <w:style w:type="character" w:styleId="71">
    <w:name w:val="HTML Sample"/>
    <w:qFormat/>
    <w:uiPriority w:val="0"/>
    <w:rPr>
      <w:rFonts w:hint="default" w:ascii="monospace" w:hAnsi="monospace" w:eastAsia="monospace" w:cs="monospace"/>
      <w:sz w:val="21"/>
      <w:szCs w:val="21"/>
    </w:rPr>
  </w:style>
  <w:style w:type="paragraph" w:customStyle="1" w:styleId="72">
    <w:name w:val="样式 ！正文 + 首行缩进:  2 字符"/>
    <w:basedOn w:val="1"/>
    <w:qFormat/>
    <w:uiPriority w:val="0"/>
    <w:pPr>
      <w:adjustRightInd w:val="0"/>
      <w:spacing w:line="360" w:lineRule="atLeast"/>
      <w:ind w:firstLine="480" w:firstLineChars="200"/>
    </w:pPr>
    <w:rPr>
      <w:rFonts w:hint="eastAsia" w:ascii="Arial" w:hAnsi="Arial" w:cs="宋体"/>
      <w:sz w:val="20"/>
    </w:rPr>
  </w:style>
  <w:style w:type="paragraph" w:customStyle="1" w:styleId="73">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74">
    <w:name w:val="标题 1 Char"/>
    <w:link w:val="2"/>
    <w:qFormat/>
    <w:uiPriority w:val="0"/>
    <w:rPr>
      <w:b/>
      <w:bCs/>
      <w:kern w:val="44"/>
      <w:sz w:val="32"/>
      <w:szCs w:val="44"/>
    </w:rPr>
  </w:style>
  <w:style w:type="character" w:customStyle="1" w:styleId="75">
    <w:name w:val="标题 2 Char"/>
    <w:link w:val="3"/>
    <w:qFormat/>
    <w:uiPriority w:val="0"/>
    <w:rPr>
      <w:rFonts w:ascii="Cambria" w:hAnsi="Cambria" w:eastAsia="宋体" w:cs="Times New Roman"/>
      <w:b/>
      <w:bCs/>
      <w:kern w:val="2"/>
      <w:sz w:val="32"/>
      <w:szCs w:val="32"/>
    </w:rPr>
  </w:style>
  <w:style w:type="character" w:customStyle="1" w:styleId="76">
    <w:name w:val="标题 3 Char"/>
    <w:link w:val="4"/>
    <w:qFormat/>
    <w:uiPriority w:val="0"/>
    <w:rPr>
      <w:rFonts w:ascii="黑体" w:hAnsi="黑体" w:eastAsia="黑体"/>
      <w:bCs/>
      <w:kern w:val="2"/>
      <w:sz w:val="24"/>
      <w:szCs w:val="24"/>
    </w:rPr>
  </w:style>
  <w:style w:type="character" w:customStyle="1" w:styleId="77">
    <w:name w:val="标题 4 Char"/>
    <w:link w:val="5"/>
    <w:qFormat/>
    <w:uiPriority w:val="0"/>
    <w:rPr>
      <w:rFonts w:ascii="Arial" w:hAnsi="Arial" w:eastAsia="黑体"/>
      <w:bCs/>
      <w:kern w:val="2"/>
      <w:sz w:val="21"/>
      <w:szCs w:val="28"/>
    </w:rPr>
  </w:style>
  <w:style w:type="character" w:customStyle="1" w:styleId="78">
    <w:name w:val="标题 5 Char"/>
    <w:link w:val="6"/>
    <w:qFormat/>
    <w:uiPriority w:val="0"/>
    <w:rPr>
      <w:rFonts w:ascii="Calibri" w:hAnsi="Calibri"/>
      <w:b/>
      <w:bCs/>
      <w:kern w:val="2"/>
      <w:sz w:val="28"/>
      <w:szCs w:val="28"/>
    </w:rPr>
  </w:style>
  <w:style w:type="character" w:customStyle="1" w:styleId="79">
    <w:name w:val="标题 6 Char"/>
    <w:link w:val="7"/>
    <w:qFormat/>
    <w:uiPriority w:val="0"/>
    <w:rPr>
      <w:b/>
      <w:bCs/>
      <w:kern w:val="2"/>
      <w:sz w:val="30"/>
      <w:szCs w:val="18"/>
    </w:rPr>
  </w:style>
  <w:style w:type="character" w:customStyle="1" w:styleId="80">
    <w:name w:val="标题 7 Char"/>
    <w:link w:val="8"/>
    <w:qFormat/>
    <w:uiPriority w:val="0"/>
    <w:rPr>
      <w:b/>
      <w:bCs/>
      <w:kern w:val="2"/>
      <w:sz w:val="30"/>
      <w:szCs w:val="18"/>
    </w:rPr>
  </w:style>
  <w:style w:type="character" w:customStyle="1" w:styleId="81">
    <w:name w:val="标题 8 Char"/>
    <w:link w:val="9"/>
    <w:qFormat/>
    <w:uiPriority w:val="0"/>
    <w:rPr>
      <w:rFonts w:ascii="宋体" w:hAnsi="宋体" w:eastAsia="黑体"/>
      <w:kern w:val="2"/>
      <w:sz w:val="32"/>
      <w:szCs w:val="32"/>
    </w:rPr>
  </w:style>
  <w:style w:type="character" w:customStyle="1" w:styleId="82">
    <w:name w:val="标题 9 Char"/>
    <w:link w:val="10"/>
    <w:qFormat/>
    <w:uiPriority w:val="0"/>
    <w:rPr>
      <w:rFonts w:ascii="Cambria" w:hAnsi="Cambria"/>
      <w:kern w:val="2"/>
      <w:sz w:val="21"/>
      <w:szCs w:val="21"/>
    </w:rPr>
  </w:style>
  <w:style w:type="character" w:customStyle="1" w:styleId="83">
    <w:name w:val="正文缩进 Char"/>
    <w:link w:val="13"/>
    <w:qFormat/>
    <w:uiPriority w:val="0"/>
    <w:rPr>
      <w:rFonts w:ascii="宋体"/>
      <w:sz w:val="24"/>
    </w:rPr>
  </w:style>
  <w:style w:type="character" w:customStyle="1" w:styleId="84">
    <w:name w:val="文档结构图 Char"/>
    <w:link w:val="15"/>
    <w:qFormat/>
    <w:uiPriority w:val="0"/>
    <w:rPr>
      <w:rFonts w:ascii="Calibri" w:hAnsi="Calibri"/>
      <w:bCs/>
      <w:kern w:val="2"/>
      <w:sz w:val="21"/>
      <w:szCs w:val="32"/>
      <w:shd w:val="clear" w:color="auto" w:fill="000080"/>
    </w:rPr>
  </w:style>
  <w:style w:type="character" w:customStyle="1" w:styleId="85">
    <w:name w:val="批注文字 Char"/>
    <w:link w:val="16"/>
    <w:qFormat/>
    <w:uiPriority w:val="0"/>
    <w:rPr>
      <w:sz w:val="24"/>
    </w:rPr>
  </w:style>
  <w:style w:type="character" w:customStyle="1" w:styleId="86">
    <w:name w:val="称呼 Char"/>
    <w:link w:val="17"/>
    <w:qFormat/>
    <w:uiPriority w:val="0"/>
    <w:rPr>
      <w:rFonts w:ascii="仿宋_GB2312" w:eastAsia="仿宋_GB2312"/>
      <w:kern w:val="2"/>
      <w:sz w:val="28"/>
    </w:rPr>
  </w:style>
  <w:style w:type="character" w:customStyle="1" w:styleId="87">
    <w:name w:val="正文文本 3 Char"/>
    <w:link w:val="18"/>
    <w:qFormat/>
    <w:uiPriority w:val="0"/>
    <w:rPr>
      <w:rFonts w:ascii="仿宋_GB2312" w:hAnsi="宋体" w:eastAsia="仿宋_GB2312"/>
      <w:bCs/>
      <w:color w:val="000000"/>
      <w:kern w:val="2"/>
      <w:sz w:val="24"/>
      <w:szCs w:val="32"/>
    </w:rPr>
  </w:style>
  <w:style w:type="character" w:customStyle="1" w:styleId="88">
    <w:name w:val="正文文本 Char"/>
    <w:link w:val="19"/>
    <w:qFormat/>
    <w:uiPriority w:val="0"/>
    <w:rPr>
      <w:kern w:val="2"/>
      <w:sz w:val="21"/>
      <w:szCs w:val="24"/>
    </w:rPr>
  </w:style>
  <w:style w:type="character" w:customStyle="1" w:styleId="89">
    <w:name w:val="正文文本缩进 Char"/>
    <w:link w:val="20"/>
    <w:qFormat/>
    <w:uiPriority w:val="0"/>
    <w:rPr>
      <w:rFonts w:ascii="宋体" w:hAnsi="宋体"/>
      <w:bCs/>
      <w:kern w:val="2"/>
      <w:sz w:val="28"/>
      <w:szCs w:val="32"/>
    </w:rPr>
  </w:style>
  <w:style w:type="character" w:customStyle="1" w:styleId="90">
    <w:name w:val="纯文本 Char1"/>
    <w:qFormat/>
    <w:uiPriority w:val="0"/>
    <w:rPr>
      <w:rFonts w:ascii="Courier New" w:hAnsi="Courier New"/>
      <w:kern w:val="2"/>
      <w:sz w:val="21"/>
    </w:rPr>
  </w:style>
  <w:style w:type="character" w:customStyle="1" w:styleId="91">
    <w:name w:val="日期 Char"/>
    <w:link w:val="29"/>
    <w:qFormat/>
    <w:uiPriority w:val="0"/>
    <w:rPr>
      <w:kern w:val="2"/>
      <w:sz w:val="21"/>
      <w:szCs w:val="24"/>
    </w:rPr>
  </w:style>
  <w:style w:type="character" w:customStyle="1" w:styleId="92">
    <w:name w:val="正文文本缩进 2 Char"/>
    <w:link w:val="30"/>
    <w:qFormat/>
    <w:uiPriority w:val="0"/>
    <w:rPr>
      <w:rFonts w:ascii="宋体" w:hAnsi="Microsoft Sans Serif"/>
      <w:bCs/>
      <w:spacing w:val="12"/>
      <w:sz w:val="24"/>
    </w:rPr>
  </w:style>
  <w:style w:type="character" w:customStyle="1" w:styleId="93">
    <w:name w:val="批注框文本 Char"/>
    <w:link w:val="31"/>
    <w:qFormat/>
    <w:uiPriority w:val="0"/>
    <w:rPr>
      <w:kern w:val="2"/>
      <w:sz w:val="18"/>
    </w:rPr>
  </w:style>
  <w:style w:type="character" w:customStyle="1" w:styleId="94">
    <w:name w:val="页脚 Char"/>
    <w:link w:val="32"/>
    <w:qFormat/>
    <w:uiPriority w:val="99"/>
    <w:rPr>
      <w:kern w:val="2"/>
      <w:sz w:val="18"/>
      <w:szCs w:val="18"/>
    </w:rPr>
  </w:style>
  <w:style w:type="character" w:customStyle="1" w:styleId="95">
    <w:name w:val="页眉 Char"/>
    <w:link w:val="34"/>
    <w:qFormat/>
    <w:uiPriority w:val="0"/>
    <w:rPr>
      <w:kern w:val="2"/>
      <w:sz w:val="18"/>
      <w:szCs w:val="18"/>
    </w:rPr>
  </w:style>
  <w:style w:type="character" w:customStyle="1" w:styleId="96">
    <w:name w:val="副标题 Char"/>
    <w:link w:val="39"/>
    <w:qFormat/>
    <w:uiPriority w:val="0"/>
    <w:rPr>
      <w:rFonts w:ascii="Arial" w:hAnsi="Arial"/>
      <w:b/>
      <w:bCs/>
      <w:kern w:val="28"/>
      <w:sz w:val="32"/>
      <w:szCs w:val="32"/>
    </w:rPr>
  </w:style>
  <w:style w:type="character" w:customStyle="1" w:styleId="97">
    <w:name w:val="脚注文本 Char"/>
    <w:link w:val="41"/>
    <w:qFormat/>
    <w:uiPriority w:val="0"/>
    <w:rPr>
      <w:kern w:val="2"/>
      <w:sz w:val="18"/>
      <w:szCs w:val="18"/>
    </w:rPr>
  </w:style>
  <w:style w:type="character" w:customStyle="1" w:styleId="98">
    <w:name w:val="正文文本缩进 3 Char"/>
    <w:link w:val="43"/>
    <w:qFormat/>
    <w:uiPriority w:val="0"/>
    <w:rPr>
      <w:rFonts w:ascii="宋体" w:hAnsi="Microsoft Sans Serif"/>
      <w:bCs/>
      <w:color w:val="000000"/>
      <w:sz w:val="24"/>
    </w:rPr>
  </w:style>
  <w:style w:type="character" w:customStyle="1" w:styleId="99">
    <w:name w:val="正文文本 2 Char"/>
    <w:link w:val="46"/>
    <w:qFormat/>
    <w:uiPriority w:val="0"/>
    <w:rPr>
      <w:rFonts w:ascii="宋体"/>
      <w:spacing w:val="-20"/>
      <w:kern w:val="2"/>
      <w:sz w:val="28"/>
    </w:rPr>
  </w:style>
  <w:style w:type="character" w:customStyle="1" w:styleId="100">
    <w:name w:val="标题 Char"/>
    <w:link w:val="51"/>
    <w:qFormat/>
    <w:uiPriority w:val="0"/>
    <w:rPr>
      <w:rFonts w:ascii="宋体" w:hAnsi="宋体" w:eastAsia="黑体"/>
      <w:b/>
      <w:kern w:val="2"/>
      <w:sz w:val="44"/>
      <w:szCs w:val="24"/>
    </w:rPr>
  </w:style>
  <w:style w:type="character" w:customStyle="1" w:styleId="101">
    <w:name w:val="批注主题 Char"/>
    <w:link w:val="52"/>
    <w:qFormat/>
    <w:uiPriority w:val="0"/>
  </w:style>
  <w:style w:type="character" w:customStyle="1" w:styleId="102">
    <w:name w:val="正文首行缩进 2 Char"/>
    <w:basedOn w:val="89"/>
    <w:link w:val="53"/>
    <w:qFormat/>
    <w:uiPriority w:val="0"/>
    <w:rPr>
      <w:rFonts w:ascii="宋体" w:hAnsi="宋体"/>
      <w:kern w:val="2"/>
      <w:sz w:val="28"/>
      <w:szCs w:val="32"/>
    </w:rPr>
  </w:style>
  <w:style w:type="character" w:customStyle="1" w:styleId="103">
    <w:name w:val="纯文本 Char"/>
    <w:basedOn w:val="56"/>
    <w:link w:val="27"/>
    <w:qFormat/>
    <w:uiPriority w:val="0"/>
    <w:rPr>
      <w:rFonts w:ascii="Courier New" w:hAnsi="Courier New" w:eastAsia="宋体" w:cs="Courier New"/>
      <w:szCs w:val="21"/>
    </w:rPr>
  </w:style>
  <w:style w:type="character" w:customStyle="1" w:styleId="104">
    <w:name w:val="标题 9 Char_0"/>
    <w:link w:val="105"/>
    <w:qFormat/>
    <w:uiPriority w:val="0"/>
    <w:rPr>
      <w:rFonts w:ascii="Arial" w:hAnsi="Arial" w:eastAsia="黑体"/>
      <w:sz w:val="21"/>
      <w:szCs w:val="21"/>
    </w:rPr>
  </w:style>
  <w:style w:type="paragraph" w:customStyle="1" w:styleId="105">
    <w:name w:val="标题 9_0"/>
    <w:basedOn w:val="106"/>
    <w:link w:val="104"/>
    <w:qFormat/>
    <w:uiPriority w:val="0"/>
    <w:pPr>
      <w:keepNext/>
      <w:keepLines/>
      <w:widowControl/>
      <w:numPr>
        <w:ilvl w:val="8"/>
        <w:numId w:val="1"/>
      </w:numPr>
      <w:spacing w:before="240" w:after="64" w:line="320" w:lineRule="auto"/>
      <w:jc w:val="left"/>
      <w:outlineLvl w:val="8"/>
    </w:pPr>
    <w:rPr>
      <w:rFonts w:ascii="Arial" w:hAnsi="Arial" w:eastAsia="黑体"/>
      <w:kern w:val="0"/>
      <w:szCs w:val="21"/>
    </w:rPr>
  </w:style>
  <w:style w:type="paragraph" w:customStyle="1" w:styleId="106">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7">
    <w:name w:val="标题 9 Char1"/>
    <w:semiHidden/>
    <w:qFormat/>
    <w:uiPriority w:val="0"/>
    <w:rPr>
      <w:rFonts w:ascii="Cambria" w:hAnsi="Cambria" w:eastAsia="宋体"/>
      <w:kern w:val="2"/>
      <w:sz w:val="21"/>
      <w:szCs w:val="21"/>
    </w:rPr>
  </w:style>
  <w:style w:type="character" w:customStyle="1" w:styleId="108">
    <w:name w:val="_Style 104"/>
    <w:qFormat/>
    <w:uiPriority w:val="0"/>
    <w:rPr>
      <w:b/>
      <w:bCs/>
      <w:i/>
      <w:iCs/>
      <w:color w:val="4F81BD"/>
    </w:rPr>
  </w:style>
  <w:style w:type="character" w:customStyle="1" w:styleId="109">
    <w:name w:val="left"/>
    <w:qFormat/>
    <w:uiPriority w:val="0"/>
  </w:style>
  <w:style w:type="character" w:customStyle="1" w:styleId="110">
    <w:name w:val="文档结构图 Char1"/>
    <w:qFormat/>
    <w:uiPriority w:val="0"/>
    <w:rPr>
      <w:rFonts w:ascii="宋体"/>
      <w:kern w:val="2"/>
      <w:sz w:val="18"/>
      <w:szCs w:val="18"/>
    </w:rPr>
  </w:style>
  <w:style w:type="character" w:customStyle="1" w:styleId="111">
    <w:name w:val="日期 Char1"/>
    <w:qFormat/>
    <w:uiPriority w:val="0"/>
    <w:rPr>
      <w:kern w:val="2"/>
      <w:sz w:val="21"/>
      <w:szCs w:val="22"/>
    </w:rPr>
  </w:style>
  <w:style w:type="character" w:customStyle="1" w:styleId="112">
    <w:name w:val="引用 Char1"/>
    <w:qFormat/>
    <w:uiPriority w:val="0"/>
    <w:rPr>
      <w:i/>
      <w:iCs/>
      <w:color w:val="000000"/>
      <w:kern w:val="2"/>
      <w:sz w:val="21"/>
      <w:szCs w:val="24"/>
    </w:rPr>
  </w:style>
  <w:style w:type="character" w:customStyle="1" w:styleId="113">
    <w:name w:val="fontstyle01"/>
    <w:qFormat/>
    <w:uiPriority w:val="0"/>
    <w:rPr>
      <w:rFonts w:ascii="仿宋" w:hAnsi="仿宋" w:eastAsia="仿宋" w:cs="仿宋"/>
      <w:color w:val="000000"/>
      <w:sz w:val="22"/>
      <w:szCs w:val="22"/>
    </w:rPr>
  </w:style>
  <w:style w:type="character" w:customStyle="1" w:styleId="114">
    <w:name w:val="ask-title2"/>
    <w:qFormat/>
    <w:uiPriority w:val="0"/>
  </w:style>
  <w:style w:type="character" w:customStyle="1" w:styleId="115">
    <w:name w:val="批注文字 Char Char"/>
    <w:qFormat/>
    <w:uiPriority w:val="0"/>
    <w:rPr>
      <w:rFonts w:ascii="宋体" w:hAnsi="Times New Roman" w:eastAsia="宋体" w:cs="Times New Roman"/>
      <w:sz w:val="28"/>
      <w:szCs w:val="20"/>
    </w:rPr>
  </w:style>
  <w:style w:type="character" w:customStyle="1" w:styleId="116">
    <w:name w:val="tit"/>
    <w:qFormat/>
    <w:uiPriority w:val="0"/>
    <w:rPr>
      <w:b/>
      <w:bCs/>
      <w:color w:val="333333"/>
      <w:sz w:val="24"/>
      <w:szCs w:val="24"/>
    </w:rPr>
  </w:style>
  <w:style w:type="character" w:customStyle="1" w:styleId="117">
    <w:name w:val="批注框文本 Char2"/>
    <w:qFormat/>
    <w:uiPriority w:val="0"/>
    <w:rPr>
      <w:kern w:val="2"/>
      <w:sz w:val="18"/>
      <w:szCs w:val="18"/>
    </w:rPr>
  </w:style>
  <w:style w:type="character" w:customStyle="1" w:styleId="118">
    <w:name w:val="tit1"/>
    <w:qFormat/>
    <w:uiPriority w:val="0"/>
    <w:rPr>
      <w:b/>
      <w:bCs/>
    </w:rPr>
  </w:style>
  <w:style w:type="character" w:customStyle="1" w:styleId="119">
    <w:name w:val="正文文本 Char1"/>
    <w:qFormat/>
    <w:uiPriority w:val="0"/>
    <w:rPr>
      <w:kern w:val="2"/>
      <w:sz w:val="21"/>
      <w:szCs w:val="22"/>
    </w:rPr>
  </w:style>
  <w:style w:type="character" w:customStyle="1" w:styleId="120">
    <w:name w:val="页眉 Char1"/>
    <w:qFormat/>
    <w:uiPriority w:val="0"/>
    <w:rPr>
      <w:kern w:val="2"/>
      <w:sz w:val="18"/>
      <w:szCs w:val="18"/>
    </w:rPr>
  </w:style>
  <w:style w:type="character" w:customStyle="1" w:styleId="121">
    <w:name w:val="文档结构图 Char2"/>
    <w:qFormat/>
    <w:uiPriority w:val="0"/>
    <w:rPr>
      <w:rFonts w:ascii="宋体"/>
      <w:kern w:val="2"/>
      <w:sz w:val="18"/>
      <w:szCs w:val="18"/>
    </w:rPr>
  </w:style>
  <w:style w:type="character" w:customStyle="1" w:styleId="122">
    <w:name w:val="正文文本 (2) + 间距 0 pt5"/>
    <w:qFormat/>
    <w:uiPriority w:val="99"/>
    <w:rPr>
      <w:rFonts w:ascii="MingLiU" w:eastAsia="MingLiU" w:cs="MingLiU"/>
      <w:spacing w:val="0"/>
      <w:sz w:val="22"/>
      <w:shd w:val="clear" w:color="auto" w:fill="FFFFFF"/>
    </w:rPr>
  </w:style>
  <w:style w:type="character" w:customStyle="1" w:styleId="123">
    <w:name w:val="批注主题 Char1"/>
    <w:qFormat/>
    <w:uiPriority w:val="0"/>
    <w:rPr>
      <w:b/>
      <w:bCs/>
      <w:kern w:val="2"/>
      <w:sz w:val="21"/>
      <w:szCs w:val="24"/>
    </w:rPr>
  </w:style>
  <w:style w:type="character" w:customStyle="1" w:styleId="124">
    <w:name w:val="_Style 120"/>
    <w:qFormat/>
    <w:uiPriority w:val="0"/>
    <w:rPr>
      <w:i/>
      <w:iCs/>
      <w:color w:val="808080"/>
    </w:rPr>
  </w:style>
  <w:style w:type="character" w:customStyle="1" w:styleId="125">
    <w:name w:val="明显引用 Char"/>
    <w:link w:val="126"/>
    <w:qFormat/>
    <w:uiPriority w:val="0"/>
    <w:rPr>
      <w:b/>
      <w:bCs/>
      <w:i/>
      <w:iCs/>
      <w:color w:val="4F81BD"/>
      <w:kern w:val="2"/>
      <w:sz w:val="21"/>
      <w:szCs w:val="22"/>
    </w:rPr>
  </w:style>
  <w:style w:type="paragraph" w:styleId="126">
    <w:name w:val="Intense Quote"/>
    <w:basedOn w:val="1"/>
    <w:link w:val="125"/>
    <w:qFormat/>
    <w:uiPriority w:val="0"/>
    <w:pPr>
      <w:pBdr>
        <w:bottom w:val="single" w:color="4F81BD" w:sz="4" w:space="4"/>
      </w:pBdr>
      <w:spacing w:before="200" w:after="280"/>
      <w:ind w:left="936" w:right="936"/>
    </w:pPr>
    <w:rPr>
      <w:rFonts w:ascii="Times New Roman"/>
      <w:b/>
      <w:bCs/>
      <w:i/>
      <w:iCs/>
      <w:color w:val="4F81BD"/>
      <w:kern w:val="2"/>
      <w:sz w:val="21"/>
      <w:szCs w:val="22"/>
    </w:rPr>
  </w:style>
  <w:style w:type="character" w:customStyle="1" w:styleId="127">
    <w:name w:val="页脚 Char1"/>
    <w:qFormat/>
    <w:uiPriority w:val="99"/>
    <w:rPr>
      <w:kern w:val="2"/>
      <w:sz w:val="18"/>
      <w:szCs w:val="18"/>
    </w:rPr>
  </w:style>
  <w:style w:type="character" w:customStyle="1" w:styleId="128">
    <w:name w:val="c1"/>
    <w:qFormat/>
    <w:uiPriority w:val="0"/>
  </w:style>
  <w:style w:type="character" w:customStyle="1" w:styleId="129">
    <w:name w:val="textcontents"/>
    <w:qFormat/>
    <w:uiPriority w:val="0"/>
    <w:rPr>
      <w:rFonts w:cs="Times New Roman"/>
    </w:rPr>
  </w:style>
  <w:style w:type="character" w:customStyle="1" w:styleId="130">
    <w:name w:val="fontstrikethrough"/>
    <w:qFormat/>
    <w:uiPriority w:val="0"/>
    <w:rPr>
      <w:strike/>
    </w:rPr>
  </w:style>
  <w:style w:type="character" w:customStyle="1" w:styleId="131">
    <w:name w:val="c2"/>
    <w:qFormat/>
    <w:uiPriority w:val="0"/>
  </w:style>
  <w:style w:type="character" w:customStyle="1" w:styleId="132">
    <w:name w:val="明显引用 Char1"/>
    <w:qFormat/>
    <w:uiPriority w:val="0"/>
    <w:rPr>
      <w:b/>
      <w:bCs/>
      <w:i/>
      <w:iCs/>
      <w:color w:val="4F81BD"/>
      <w:kern w:val="2"/>
      <w:sz w:val="21"/>
      <w:szCs w:val="24"/>
    </w:rPr>
  </w:style>
  <w:style w:type="character" w:customStyle="1" w:styleId="133">
    <w:name w:val="c3"/>
    <w:qFormat/>
    <w:uiPriority w:val="0"/>
  </w:style>
  <w:style w:type="character" w:customStyle="1" w:styleId="134">
    <w:name w:val="left2"/>
    <w:qFormat/>
    <w:uiPriority w:val="0"/>
  </w:style>
  <w:style w:type="character" w:customStyle="1" w:styleId="135">
    <w:name w:val="标题 6 Char_0"/>
    <w:link w:val="136"/>
    <w:qFormat/>
    <w:uiPriority w:val="0"/>
    <w:rPr>
      <w:rFonts w:ascii="Arial" w:hAnsi="Arial" w:eastAsia="黑体"/>
      <w:b/>
      <w:bCs/>
      <w:sz w:val="24"/>
      <w:szCs w:val="24"/>
    </w:rPr>
  </w:style>
  <w:style w:type="paragraph" w:customStyle="1" w:styleId="136">
    <w:name w:val="标题 6_0"/>
    <w:basedOn w:val="106"/>
    <w:link w:val="135"/>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rPr>
  </w:style>
  <w:style w:type="character" w:customStyle="1" w:styleId="137">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38">
    <w:name w:val="Blockquote Char_0_1"/>
    <w:link w:val="139"/>
    <w:qFormat/>
    <w:uiPriority w:val="0"/>
    <w:rPr>
      <w:sz w:val="24"/>
    </w:rPr>
  </w:style>
  <w:style w:type="paragraph" w:customStyle="1" w:styleId="139">
    <w:name w:val="Blockquote_0_1"/>
    <w:basedOn w:val="140"/>
    <w:link w:val="138"/>
    <w:qFormat/>
    <w:uiPriority w:val="0"/>
    <w:pPr>
      <w:autoSpaceDE w:val="0"/>
      <w:autoSpaceDN w:val="0"/>
      <w:adjustRightInd w:val="0"/>
      <w:spacing w:before="100" w:after="100"/>
      <w:ind w:left="360" w:right="360"/>
      <w:jc w:val="left"/>
    </w:pPr>
    <w:rPr>
      <w:kern w:val="0"/>
      <w:sz w:val="24"/>
      <w:szCs w:val="20"/>
    </w:rPr>
  </w:style>
  <w:style w:type="paragraph" w:customStyle="1" w:styleId="140">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41">
    <w:name w:val="标题 4 Char_0"/>
    <w:link w:val="142"/>
    <w:qFormat/>
    <w:uiPriority w:val="0"/>
    <w:rPr>
      <w:rFonts w:ascii="Arial" w:hAnsi="Arial" w:eastAsia="黑体"/>
      <w:sz w:val="28"/>
    </w:rPr>
  </w:style>
  <w:style w:type="paragraph" w:customStyle="1" w:styleId="142">
    <w:name w:val="标题 4_0"/>
    <w:basedOn w:val="106"/>
    <w:link w:val="14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143">
    <w:name w:val="标题 2 Char_0"/>
    <w:link w:val="144"/>
    <w:qFormat/>
    <w:uiPriority w:val="0"/>
    <w:rPr>
      <w:rFonts w:ascii="黑体" w:hAnsi="宋体" w:eastAsia="黑体"/>
      <w:b/>
      <w:sz w:val="36"/>
      <w:szCs w:val="24"/>
    </w:rPr>
  </w:style>
  <w:style w:type="paragraph" w:customStyle="1" w:styleId="144">
    <w:name w:val="标题 2_0"/>
    <w:basedOn w:val="145"/>
    <w:link w:val="143"/>
    <w:qFormat/>
    <w:uiPriority w:val="0"/>
    <w:pPr>
      <w:keepNext/>
      <w:keepLines/>
      <w:spacing w:before="260" w:after="260" w:line="500" w:lineRule="exact"/>
      <w:jc w:val="center"/>
      <w:outlineLvl w:val="1"/>
    </w:pPr>
    <w:rPr>
      <w:rFonts w:ascii="黑体" w:hAnsi="宋体" w:eastAsia="黑体"/>
      <w:b/>
      <w:kern w:val="0"/>
      <w:sz w:val="36"/>
    </w:rPr>
  </w:style>
  <w:style w:type="paragraph" w:customStyle="1" w:styleId="145">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47">
    <w:name w:val="标题 1 Char1"/>
    <w:qFormat/>
    <w:uiPriority w:val="0"/>
    <w:rPr>
      <w:rFonts w:ascii="Calibri" w:hAnsi="Calibri" w:eastAsia="宋体"/>
      <w:b/>
      <w:kern w:val="44"/>
      <w:sz w:val="44"/>
      <w:szCs w:val="44"/>
    </w:rPr>
  </w:style>
  <w:style w:type="character" w:customStyle="1" w:styleId="148">
    <w:name w:val="纯文本 Char1_0"/>
    <w:link w:val="149"/>
    <w:qFormat/>
    <w:uiPriority w:val="0"/>
    <w:rPr>
      <w:rFonts w:ascii="宋体" w:hAnsi="Courier New"/>
      <w:kern w:val="2"/>
      <w:sz w:val="21"/>
      <w:szCs w:val="21"/>
    </w:rPr>
  </w:style>
  <w:style w:type="paragraph" w:customStyle="1" w:styleId="149">
    <w:name w:val="纯文本_1"/>
    <w:basedOn w:val="150"/>
    <w:link w:val="148"/>
    <w:qFormat/>
    <w:uiPriority w:val="0"/>
    <w:rPr>
      <w:rFonts w:ascii="宋体" w:hAnsi="Courier New"/>
      <w:szCs w:val="21"/>
    </w:rPr>
  </w:style>
  <w:style w:type="paragraph" w:customStyle="1" w:styleId="150">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标题 1 Char_0"/>
    <w:link w:val="152"/>
    <w:qFormat/>
    <w:uiPriority w:val="0"/>
    <w:rPr>
      <w:rFonts w:ascii="黑体" w:eastAsia="黑体"/>
      <w:sz w:val="52"/>
    </w:rPr>
  </w:style>
  <w:style w:type="paragraph" w:customStyle="1" w:styleId="152">
    <w:name w:val="标题 1_0"/>
    <w:basedOn w:val="106"/>
    <w:link w:val="151"/>
    <w:qFormat/>
    <w:uiPriority w:val="0"/>
    <w:pPr>
      <w:keepNext/>
      <w:widowControl/>
      <w:numPr>
        <w:ilvl w:val="0"/>
        <w:numId w:val="1"/>
      </w:numPr>
      <w:jc w:val="center"/>
      <w:outlineLvl w:val="0"/>
    </w:pPr>
    <w:rPr>
      <w:rFonts w:ascii="黑体" w:eastAsia="黑体"/>
      <w:kern w:val="0"/>
      <w:sz w:val="52"/>
      <w:szCs w:val="20"/>
    </w:rPr>
  </w:style>
  <w:style w:type="character" w:customStyle="1" w:styleId="153">
    <w:name w:val="Char Char"/>
    <w:qFormat/>
    <w:uiPriority w:val="0"/>
    <w:rPr>
      <w:rFonts w:ascii="宋体" w:hAnsi="Courier New" w:eastAsia="宋体" w:cs="Courier New"/>
      <w:kern w:val="2"/>
      <w:sz w:val="21"/>
      <w:szCs w:val="21"/>
      <w:lang w:val="en-US" w:eastAsia="zh-CN" w:bidi="ar-SA"/>
    </w:rPr>
  </w:style>
  <w:style w:type="character" w:customStyle="1" w:styleId="154">
    <w:name w:val="标题 6 Char1"/>
    <w:semiHidden/>
    <w:qFormat/>
    <w:uiPriority w:val="0"/>
    <w:rPr>
      <w:rFonts w:ascii="Cambria" w:hAnsi="Cambria" w:eastAsia="宋体"/>
      <w:b/>
      <w:kern w:val="2"/>
      <w:sz w:val="24"/>
      <w:szCs w:val="24"/>
    </w:rPr>
  </w:style>
  <w:style w:type="character" w:customStyle="1" w:styleId="155">
    <w:name w:val="标题 7 Char_0"/>
    <w:link w:val="156"/>
    <w:qFormat/>
    <w:uiPriority w:val="0"/>
    <w:rPr>
      <w:b/>
      <w:bCs/>
      <w:sz w:val="24"/>
      <w:szCs w:val="24"/>
    </w:rPr>
  </w:style>
  <w:style w:type="paragraph" w:customStyle="1" w:styleId="156">
    <w:name w:val="标题 7_0"/>
    <w:basedOn w:val="106"/>
    <w:link w:val="155"/>
    <w:qFormat/>
    <w:uiPriority w:val="0"/>
    <w:pPr>
      <w:keepNext/>
      <w:keepLines/>
      <w:widowControl/>
      <w:numPr>
        <w:ilvl w:val="6"/>
        <w:numId w:val="1"/>
      </w:numPr>
      <w:spacing w:before="240" w:after="64" w:line="320" w:lineRule="auto"/>
      <w:jc w:val="left"/>
      <w:outlineLvl w:val="6"/>
    </w:pPr>
    <w:rPr>
      <w:b/>
      <w:bCs/>
      <w:kern w:val="0"/>
      <w:sz w:val="24"/>
    </w:rPr>
  </w:style>
  <w:style w:type="character" w:customStyle="1" w:styleId="157">
    <w:name w:val="正文文本 Char_0"/>
    <w:link w:val="158"/>
    <w:qFormat/>
    <w:uiPriority w:val="0"/>
    <w:rPr>
      <w:kern w:val="2"/>
      <w:sz w:val="21"/>
      <w:szCs w:val="24"/>
    </w:rPr>
  </w:style>
  <w:style w:type="paragraph" w:customStyle="1" w:styleId="158">
    <w:name w:val="正文文本_0"/>
    <w:basedOn w:val="106"/>
    <w:link w:val="157"/>
    <w:qFormat/>
    <w:uiPriority w:val="0"/>
    <w:pPr>
      <w:spacing w:after="120"/>
    </w:pPr>
  </w:style>
  <w:style w:type="character" w:customStyle="1" w:styleId="159">
    <w:name w:val="标题 Char1"/>
    <w:qFormat/>
    <w:uiPriority w:val="0"/>
    <w:rPr>
      <w:rFonts w:ascii="Cambria" w:hAnsi="Cambria" w:cs="Times New Roman"/>
      <w:b/>
      <w:bCs/>
      <w:kern w:val="2"/>
      <w:sz w:val="32"/>
      <w:szCs w:val="32"/>
    </w:rPr>
  </w:style>
  <w:style w:type="character" w:customStyle="1" w:styleId="160">
    <w:name w:val="正文文本 Char2"/>
    <w:qFormat/>
    <w:uiPriority w:val="0"/>
    <w:rPr>
      <w:kern w:val="2"/>
      <w:sz w:val="21"/>
      <w:szCs w:val="22"/>
    </w:rPr>
  </w:style>
  <w:style w:type="character" w:customStyle="1" w:styleId="161">
    <w:name w:val="t_tag"/>
    <w:qFormat/>
    <w:uiPriority w:val="0"/>
  </w:style>
  <w:style w:type="character" w:customStyle="1" w:styleId="162">
    <w:name w:val="副标题 Char1"/>
    <w:qFormat/>
    <w:uiPriority w:val="0"/>
    <w:rPr>
      <w:rFonts w:ascii="Cambria" w:hAnsi="Cambria" w:cs="Times New Roman"/>
      <w:b/>
      <w:bCs/>
      <w:kern w:val="28"/>
      <w:sz w:val="32"/>
      <w:szCs w:val="32"/>
    </w:rPr>
  </w:style>
  <w:style w:type="character" w:customStyle="1" w:styleId="163">
    <w:name w:val="日期 Char2"/>
    <w:qFormat/>
    <w:uiPriority w:val="0"/>
    <w:rPr>
      <w:kern w:val="2"/>
      <w:sz w:val="21"/>
      <w:szCs w:val="22"/>
    </w:rPr>
  </w:style>
  <w:style w:type="character" w:customStyle="1" w:styleId="164">
    <w:name w:val="标题4 Char Char"/>
    <w:link w:val="165"/>
    <w:qFormat/>
    <w:uiPriority w:val="0"/>
    <w:rPr>
      <w:rFonts w:ascii="Arial" w:hAnsi="Arial"/>
      <w:b/>
      <w:bCs/>
      <w:sz w:val="24"/>
      <w:szCs w:val="32"/>
    </w:rPr>
  </w:style>
  <w:style w:type="paragraph" w:customStyle="1" w:styleId="165">
    <w:name w:val="标题4"/>
    <w:basedOn w:val="3"/>
    <w:link w:val="164"/>
    <w:qFormat/>
    <w:uiPriority w:val="0"/>
    <w:pPr>
      <w:spacing w:before="0" w:after="0" w:line="413" w:lineRule="auto"/>
    </w:pPr>
    <w:rPr>
      <w:rFonts w:ascii="Arial" w:hAnsi="Arial"/>
      <w:kern w:val="0"/>
      <w:sz w:val="24"/>
    </w:rPr>
  </w:style>
  <w:style w:type="character" w:customStyle="1" w:styleId="166">
    <w:name w:val="标题 5 Char1"/>
    <w:semiHidden/>
    <w:qFormat/>
    <w:uiPriority w:val="0"/>
    <w:rPr>
      <w:rFonts w:ascii="Calibri" w:hAnsi="Calibri" w:eastAsia="宋体"/>
      <w:b/>
      <w:kern w:val="2"/>
      <w:sz w:val="28"/>
      <w:szCs w:val="28"/>
    </w:rPr>
  </w:style>
  <w:style w:type="character" w:customStyle="1" w:styleId="167">
    <w:name w:val="标题 4 Char1"/>
    <w:semiHidden/>
    <w:qFormat/>
    <w:uiPriority w:val="0"/>
    <w:rPr>
      <w:rFonts w:ascii="Cambria" w:hAnsi="Cambria" w:eastAsia="宋体"/>
      <w:b/>
      <w:kern w:val="2"/>
      <w:sz w:val="28"/>
      <w:szCs w:val="28"/>
    </w:rPr>
  </w:style>
  <w:style w:type="character" w:customStyle="1" w:styleId="168">
    <w:name w:val="标题 8 Char1"/>
    <w:semiHidden/>
    <w:qFormat/>
    <w:uiPriority w:val="0"/>
    <w:rPr>
      <w:rFonts w:ascii="Cambria" w:hAnsi="Cambria" w:eastAsia="宋体"/>
      <w:kern w:val="2"/>
      <w:sz w:val="24"/>
      <w:szCs w:val="24"/>
    </w:rPr>
  </w:style>
  <w:style w:type="character" w:customStyle="1" w:styleId="169">
    <w:name w:val="Texte Char1"/>
    <w:link w:val="170"/>
    <w:qFormat/>
    <w:uiPriority w:val="99"/>
    <w:rPr>
      <w:rFonts w:ascii="宋体" w:hAnsi="Courier New"/>
      <w:kern w:val="2"/>
      <w:sz w:val="21"/>
      <w:szCs w:val="21"/>
    </w:rPr>
  </w:style>
  <w:style w:type="paragraph" w:customStyle="1" w:styleId="170">
    <w:name w:val="纯文本_0"/>
    <w:basedOn w:val="146"/>
    <w:link w:val="169"/>
    <w:qFormat/>
    <w:uiPriority w:val="99"/>
    <w:rPr>
      <w:rFonts w:ascii="宋体" w:hAnsi="Courier New"/>
      <w:szCs w:val="21"/>
    </w:rPr>
  </w:style>
  <w:style w:type="character" w:customStyle="1" w:styleId="171">
    <w:name w:val="正文2 Char"/>
    <w:link w:val="172"/>
    <w:qFormat/>
    <w:uiPriority w:val="0"/>
    <w:rPr>
      <w:rFonts w:ascii="楷体" w:eastAsia="楷体"/>
      <w:b/>
      <w:color w:val="0000FF"/>
      <w:kern w:val="2"/>
      <w:sz w:val="21"/>
      <w:szCs w:val="22"/>
      <w:lang w:val="en-US" w:eastAsia="zh-CN" w:bidi="ar-SA"/>
    </w:rPr>
  </w:style>
  <w:style w:type="paragraph" w:customStyle="1" w:styleId="172">
    <w:name w:val="正文2"/>
    <w:link w:val="171"/>
    <w:qFormat/>
    <w:uiPriority w:val="0"/>
    <w:pPr>
      <w:widowControl w:val="0"/>
      <w:adjustRightInd w:val="0"/>
      <w:snapToGrid w:val="0"/>
      <w:spacing w:line="360" w:lineRule="auto"/>
      <w:ind w:firstLine="200" w:firstLineChars="200"/>
      <w:jc w:val="both"/>
    </w:pPr>
    <w:rPr>
      <w:rFonts w:ascii="楷体" w:hAnsi="Times New Roman" w:eastAsia="楷体" w:cs="Times New Roman"/>
      <w:b/>
      <w:color w:val="0000FF"/>
      <w:kern w:val="2"/>
      <w:sz w:val="21"/>
      <w:szCs w:val="22"/>
      <w:lang w:val="en-US" w:eastAsia="zh-CN" w:bidi="ar-SA"/>
    </w:rPr>
  </w:style>
  <w:style w:type="character" w:customStyle="1" w:styleId="173">
    <w:name w:val="纯文本 Char1_1"/>
    <w:link w:val="174"/>
    <w:qFormat/>
    <w:uiPriority w:val="0"/>
    <w:rPr>
      <w:rFonts w:ascii="宋体" w:hAnsi="Courier New"/>
      <w:kern w:val="2"/>
      <w:sz w:val="21"/>
      <w:szCs w:val="21"/>
    </w:rPr>
  </w:style>
  <w:style w:type="paragraph" w:customStyle="1" w:styleId="174">
    <w:name w:val="纯文本_2"/>
    <w:basedOn w:val="106"/>
    <w:link w:val="173"/>
    <w:qFormat/>
    <w:uiPriority w:val="0"/>
    <w:rPr>
      <w:rFonts w:ascii="宋体" w:hAnsi="Courier New"/>
      <w:szCs w:val="21"/>
    </w:rPr>
  </w:style>
  <w:style w:type="character" w:customStyle="1" w:styleId="175">
    <w:name w:val="纯文本 Char2"/>
    <w:qFormat/>
    <w:uiPriority w:val="0"/>
    <w:rPr>
      <w:rFonts w:ascii="宋体" w:hAnsi="Courier New" w:cs="Courier New"/>
      <w:kern w:val="2"/>
      <w:sz w:val="21"/>
      <w:szCs w:val="21"/>
    </w:rPr>
  </w:style>
  <w:style w:type="character" w:customStyle="1" w:styleId="176">
    <w:name w:val="_Style 172"/>
    <w:qFormat/>
    <w:uiPriority w:val="0"/>
    <w:rPr>
      <w:b/>
      <w:bCs/>
      <w:spacing w:val="5"/>
    </w:rPr>
  </w:style>
  <w:style w:type="character" w:customStyle="1" w:styleId="177">
    <w:name w:val="Blockquote Char"/>
    <w:link w:val="178"/>
    <w:qFormat/>
    <w:uiPriority w:val="0"/>
    <w:rPr>
      <w:sz w:val="24"/>
    </w:rPr>
  </w:style>
  <w:style w:type="paragraph" w:customStyle="1" w:styleId="178">
    <w:name w:val="Blockquote"/>
    <w:basedOn w:val="1"/>
    <w:link w:val="177"/>
    <w:qFormat/>
    <w:uiPriority w:val="0"/>
    <w:pPr>
      <w:autoSpaceDE w:val="0"/>
      <w:autoSpaceDN w:val="0"/>
      <w:adjustRightInd w:val="0"/>
      <w:spacing w:before="100" w:after="100"/>
      <w:ind w:left="360" w:right="360"/>
      <w:jc w:val="left"/>
    </w:pPr>
    <w:rPr>
      <w:rFonts w:ascii="Times New Roman"/>
    </w:rPr>
  </w:style>
  <w:style w:type="character" w:customStyle="1" w:styleId="179">
    <w:name w:val="tdrownotice1"/>
    <w:qFormat/>
    <w:uiPriority w:val="0"/>
    <w:rPr>
      <w:sz w:val="22"/>
    </w:rPr>
  </w:style>
  <w:style w:type="character" w:customStyle="1" w:styleId="180">
    <w:name w:val="正文文本 (2)_"/>
    <w:link w:val="181"/>
    <w:qFormat/>
    <w:uiPriority w:val="99"/>
    <w:rPr>
      <w:rFonts w:ascii="MingLiU" w:eastAsia="MingLiU" w:cs="MingLiU"/>
      <w:spacing w:val="20"/>
      <w:sz w:val="22"/>
      <w:shd w:val="clear" w:color="auto" w:fill="FFFFFF"/>
    </w:rPr>
  </w:style>
  <w:style w:type="paragraph" w:customStyle="1" w:styleId="181">
    <w:name w:val="正文文本 (2)1"/>
    <w:basedOn w:val="1"/>
    <w:link w:val="180"/>
    <w:qFormat/>
    <w:uiPriority w:val="99"/>
    <w:pPr>
      <w:shd w:val="clear" w:color="auto" w:fill="FFFFFF"/>
      <w:spacing w:before="300" w:line="439" w:lineRule="exact"/>
      <w:jc w:val="distribute"/>
    </w:pPr>
    <w:rPr>
      <w:rFonts w:ascii="MingLiU" w:eastAsia="MingLiU"/>
      <w:spacing w:val="20"/>
      <w:sz w:val="22"/>
    </w:rPr>
  </w:style>
  <w:style w:type="character" w:customStyle="1" w:styleId="182">
    <w:name w:val="批注框文本 Char1"/>
    <w:qFormat/>
    <w:uiPriority w:val="0"/>
    <w:rPr>
      <w:kern w:val="2"/>
      <w:sz w:val="18"/>
      <w:szCs w:val="18"/>
    </w:rPr>
  </w:style>
  <w:style w:type="character" w:customStyle="1" w:styleId="183">
    <w:name w:val="批注文字 Char1"/>
    <w:qFormat/>
    <w:uiPriority w:val="0"/>
    <w:rPr>
      <w:kern w:val="2"/>
      <w:sz w:val="21"/>
      <w:szCs w:val="24"/>
    </w:rPr>
  </w:style>
  <w:style w:type="character" w:customStyle="1" w:styleId="184">
    <w:name w:val="批注主题 Char2"/>
    <w:qFormat/>
    <w:uiPriority w:val="0"/>
    <w:rPr>
      <w:b/>
      <w:bCs/>
      <w:kern w:val="2"/>
      <w:sz w:val="21"/>
      <w:szCs w:val="22"/>
    </w:rPr>
  </w:style>
  <w:style w:type="character" w:customStyle="1" w:styleId="185">
    <w:name w:val="普通文字1 Char"/>
    <w:qFormat/>
    <w:uiPriority w:val="99"/>
    <w:rPr>
      <w:rFonts w:ascii="宋体" w:hAnsi="Courier New" w:eastAsia="宋体" w:cs="Courier New"/>
      <w:szCs w:val="21"/>
    </w:rPr>
  </w:style>
  <w:style w:type="character" w:customStyle="1" w:styleId="186">
    <w:name w:val="标题 3 Char1"/>
    <w:semiHidden/>
    <w:qFormat/>
    <w:uiPriority w:val="0"/>
    <w:rPr>
      <w:rFonts w:ascii="Calibri" w:hAnsi="Calibri" w:eastAsia="宋体"/>
      <w:b/>
      <w:kern w:val="2"/>
      <w:sz w:val="32"/>
    </w:rPr>
  </w:style>
  <w:style w:type="character" w:customStyle="1" w:styleId="187">
    <w:name w:val="标题 7 Char1"/>
    <w:semiHidden/>
    <w:qFormat/>
    <w:uiPriority w:val="0"/>
    <w:rPr>
      <w:rFonts w:ascii="Calibri" w:hAnsi="Calibri" w:eastAsia="宋体"/>
      <w:b/>
      <w:kern w:val="2"/>
      <w:sz w:val="24"/>
      <w:szCs w:val="24"/>
    </w:rPr>
  </w:style>
  <w:style w:type="character" w:customStyle="1" w:styleId="188">
    <w:name w:val="标题 8 Char_0"/>
    <w:link w:val="189"/>
    <w:qFormat/>
    <w:uiPriority w:val="0"/>
    <w:rPr>
      <w:rFonts w:ascii="Arial" w:hAnsi="Arial" w:eastAsia="黑体"/>
      <w:sz w:val="24"/>
      <w:szCs w:val="24"/>
    </w:rPr>
  </w:style>
  <w:style w:type="paragraph" w:customStyle="1" w:styleId="189">
    <w:name w:val="标题 8_0"/>
    <w:basedOn w:val="106"/>
    <w:link w:val="188"/>
    <w:qFormat/>
    <w:uiPriority w:val="0"/>
    <w:pPr>
      <w:keepNext/>
      <w:keepLines/>
      <w:widowControl/>
      <w:numPr>
        <w:ilvl w:val="7"/>
        <w:numId w:val="1"/>
      </w:numPr>
      <w:spacing w:before="240" w:after="64" w:line="320" w:lineRule="auto"/>
      <w:jc w:val="left"/>
      <w:outlineLvl w:val="7"/>
    </w:pPr>
    <w:rPr>
      <w:rFonts w:ascii="Arial" w:hAnsi="Arial" w:eastAsia="黑体"/>
      <w:kern w:val="0"/>
      <w:sz w:val="24"/>
    </w:rPr>
  </w:style>
  <w:style w:type="character" w:customStyle="1" w:styleId="190">
    <w:name w:val="标题 3 Char_0"/>
    <w:link w:val="191"/>
    <w:qFormat/>
    <w:uiPriority w:val="0"/>
    <w:rPr>
      <w:b/>
      <w:sz w:val="32"/>
    </w:rPr>
  </w:style>
  <w:style w:type="paragraph" w:customStyle="1" w:styleId="191">
    <w:name w:val="标题 3_0"/>
    <w:basedOn w:val="106"/>
    <w:link w:val="190"/>
    <w:qFormat/>
    <w:uiPriority w:val="0"/>
    <w:pPr>
      <w:keepNext/>
      <w:keepLines/>
      <w:widowControl/>
      <w:numPr>
        <w:ilvl w:val="2"/>
        <w:numId w:val="1"/>
      </w:numPr>
      <w:spacing w:before="120" w:after="120" w:line="360" w:lineRule="auto"/>
      <w:jc w:val="center"/>
      <w:outlineLvl w:val="2"/>
    </w:pPr>
    <w:rPr>
      <w:b/>
      <w:kern w:val="0"/>
      <w:sz w:val="32"/>
      <w:szCs w:val="20"/>
    </w:rPr>
  </w:style>
  <w:style w:type="paragraph" w:customStyle="1" w:styleId="192">
    <w:name w:val="正文缩进_0"/>
    <w:basedOn w:val="106"/>
    <w:unhideWhenUsed/>
    <w:qFormat/>
    <w:uiPriority w:val="0"/>
    <w:pPr>
      <w:ind w:firstLine="420" w:firstLineChars="200"/>
    </w:pPr>
    <w:rPr>
      <w:rFonts w:ascii="Calibri" w:hAnsi="Calibri"/>
      <w:bCs/>
      <w:szCs w:val="32"/>
    </w:rPr>
  </w:style>
  <w:style w:type="character" w:customStyle="1" w:styleId="193">
    <w:name w:val="Blockquote Char_0"/>
    <w:link w:val="194"/>
    <w:qFormat/>
    <w:uiPriority w:val="0"/>
    <w:rPr>
      <w:sz w:val="24"/>
    </w:rPr>
  </w:style>
  <w:style w:type="paragraph" w:customStyle="1" w:styleId="194">
    <w:name w:val="Blockquote_0"/>
    <w:basedOn w:val="106"/>
    <w:link w:val="193"/>
    <w:qFormat/>
    <w:uiPriority w:val="0"/>
    <w:pPr>
      <w:autoSpaceDE w:val="0"/>
      <w:autoSpaceDN w:val="0"/>
      <w:adjustRightInd w:val="0"/>
      <w:spacing w:before="100" w:after="100"/>
      <w:ind w:left="360" w:right="360"/>
      <w:jc w:val="left"/>
    </w:pPr>
    <w:rPr>
      <w:kern w:val="0"/>
      <w:sz w:val="24"/>
      <w:szCs w:val="20"/>
    </w:rPr>
  </w:style>
  <w:style w:type="character" w:customStyle="1" w:styleId="195">
    <w:name w:val="脚注文本 Char_0"/>
    <w:link w:val="196"/>
    <w:qFormat/>
    <w:uiPriority w:val="0"/>
    <w:rPr>
      <w:sz w:val="18"/>
    </w:rPr>
  </w:style>
  <w:style w:type="paragraph" w:customStyle="1" w:styleId="196">
    <w:name w:val="脚注文本_0"/>
    <w:basedOn w:val="197"/>
    <w:link w:val="195"/>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197">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198">
    <w:name w:val="标题5 Char Char"/>
    <w:link w:val="199"/>
    <w:qFormat/>
    <w:uiPriority w:val="0"/>
    <w:rPr>
      <w:rFonts w:ascii="Arial" w:hAnsi="Arial"/>
      <w:b/>
      <w:bCs/>
      <w:sz w:val="24"/>
      <w:szCs w:val="32"/>
    </w:rPr>
  </w:style>
  <w:style w:type="paragraph" w:customStyle="1" w:styleId="199">
    <w:name w:val="标题5"/>
    <w:basedOn w:val="4"/>
    <w:link w:val="198"/>
    <w:qFormat/>
    <w:uiPriority w:val="0"/>
    <w:pPr>
      <w:spacing w:before="260" w:after="260" w:line="413" w:lineRule="auto"/>
    </w:pPr>
    <w:rPr>
      <w:rFonts w:ascii="Arial" w:hAnsi="Arial" w:eastAsia="宋体"/>
      <w:b/>
      <w:kern w:val="0"/>
      <w:szCs w:val="32"/>
    </w:rPr>
  </w:style>
  <w:style w:type="character" w:customStyle="1" w:styleId="200">
    <w:name w:val="引用 Char"/>
    <w:link w:val="201"/>
    <w:qFormat/>
    <w:uiPriority w:val="0"/>
    <w:rPr>
      <w:i/>
      <w:iCs/>
      <w:color w:val="000000"/>
      <w:kern w:val="2"/>
      <w:sz w:val="21"/>
      <w:szCs w:val="22"/>
    </w:rPr>
  </w:style>
  <w:style w:type="paragraph" w:styleId="201">
    <w:name w:val="Quote"/>
    <w:basedOn w:val="1"/>
    <w:link w:val="200"/>
    <w:qFormat/>
    <w:uiPriority w:val="0"/>
    <w:rPr>
      <w:rFonts w:ascii="Times New Roman"/>
      <w:i/>
      <w:iCs/>
      <w:color w:val="000000"/>
      <w:kern w:val="2"/>
      <w:sz w:val="21"/>
      <w:szCs w:val="22"/>
    </w:rPr>
  </w:style>
  <w:style w:type="character" w:customStyle="1" w:styleId="202">
    <w:name w:val="_Style 198"/>
    <w:qFormat/>
    <w:uiPriority w:val="0"/>
    <w:rPr>
      <w:b/>
      <w:bCs/>
      <w:color w:val="C0504D"/>
      <w:spacing w:val="5"/>
      <w:u w:val="single"/>
    </w:rPr>
  </w:style>
  <w:style w:type="character" w:customStyle="1" w:styleId="203">
    <w:name w:val="_Style 199"/>
    <w:qFormat/>
    <w:uiPriority w:val="0"/>
    <w:rPr>
      <w:color w:val="C0504D"/>
      <w:u w:val="single"/>
    </w:rPr>
  </w:style>
  <w:style w:type="character" w:customStyle="1" w:styleId="204">
    <w:name w:val="tit2"/>
    <w:qFormat/>
    <w:uiPriority w:val="0"/>
  </w:style>
  <w:style w:type="character" w:customStyle="1" w:styleId="205">
    <w:name w:val="msg-box10"/>
    <w:qFormat/>
    <w:uiPriority w:val="0"/>
  </w:style>
  <w:style w:type="character" w:customStyle="1" w:styleId="206">
    <w:name w:val="msg-box11"/>
    <w:qFormat/>
    <w:uiPriority w:val="0"/>
  </w:style>
  <w:style w:type="character" w:customStyle="1" w:styleId="207">
    <w:name w:val="fontborder"/>
    <w:qFormat/>
    <w:uiPriority w:val="0"/>
    <w:rPr>
      <w:bdr w:val="single" w:color="000000" w:sz="6" w:space="0"/>
    </w:rPr>
  </w:style>
  <w:style w:type="paragraph" w:customStyle="1" w:styleId="208">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rPr>
  </w:style>
  <w:style w:type="paragraph" w:styleId="209">
    <w:name w:val="List Paragraph"/>
    <w:basedOn w:val="1"/>
    <w:qFormat/>
    <w:uiPriority w:val="34"/>
    <w:pPr>
      <w:ind w:firstLine="420" w:firstLineChars="200"/>
    </w:pPr>
    <w:rPr>
      <w:rFonts w:ascii="Calibri" w:hAnsi="Calibri"/>
      <w:szCs w:val="22"/>
    </w:rPr>
  </w:style>
  <w:style w:type="paragraph" w:customStyle="1" w:styleId="210">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sz w:val="18"/>
      <w:szCs w:val="18"/>
    </w:rPr>
  </w:style>
  <w:style w:type="paragraph" w:customStyle="1" w:styleId="212">
    <w:name w:val="Normal_3"/>
    <w:qFormat/>
    <w:uiPriority w:val="0"/>
    <w:rPr>
      <w:rFonts w:ascii="Times New Roman" w:hAnsi="Times New Roman" w:eastAsia="Times New Roman" w:cs="Times New Roman"/>
      <w:sz w:val="24"/>
      <w:szCs w:val="24"/>
      <w:lang w:val="en-US" w:eastAsia="zh-CN" w:bidi="ar-SA"/>
    </w:rPr>
  </w:style>
  <w:style w:type="paragraph" w:customStyle="1" w:styleId="213">
    <w:name w:val="Char Char Char Char"/>
    <w:basedOn w:val="1"/>
    <w:qFormat/>
    <w:uiPriority w:val="0"/>
    <w:pPr>
      <w:snapToGrid w:val="0"/>
      <w:spacing w:line="360" w:lineRule="auto"/>
      <w:ind w:firstLine="200" w:firstLineChars="200"/>
    </w:pPr>
    <w:rPr>
      <w:rFonts w:ascii="Calibri" w:hAnsi="Calibri" w:eastAsia="仿宋_GB2312"/>
      <w:szCs w:val="22"/>
    </w:rPr>
  </w:style>
  <w:style w:type="paragraph" w:customStyle="1" w:styleId="214">
    <w:name w:val="正文1"/>
    <w:qFormat/>
    <w:uiPriority w:val="0"/>
    <w:pPr>
      <w:widowControl w:val="0"/>
      <w:adjustRightInd w:val="0"/>
      <w:spacing w:line="312" w:lineRule="atLeast"/>
      <w:jc w:val="both"/>
    </w:pPr>
    <w:rPr>
      <w:rFonts w:ascii="宋体" w:hAnsi="Times New Roman" w:eastAsia="宋体" w:cs="Times New Roman"/>
      <w:sz w:val="24"/>
      <w:lang w:val="en-US" w:eastAsia="zh-CN" w:bidi="ar-SA"/>
    </w:rPr>
  </w:style>
  <w:style w:type="paragraph" w:customStyle="1" w:styleId="215">
    <w:name w:val="样式3"/>
    <w:basedOn w:val="1"/>
    <w:qFormat/>
    <w:uiPriority w:val="0"/>
    <w:pPr>
      <w:tabs>
        <w:tab w:val="left" w:pos="560"/>
        <w:tab w:val="left" w:pos="1120"/>
      </w:tabs>
      <w:spacing w:line="480" w:lineRule="atLeast"/>
    </w:pPr>
    <w:rPr>
      <w:rFonts w:ascii="Calibri" w:hAnsi="Calibri" w:eastAsia="创艺简黑体"/>
      <w:b/>
      <w:sz w:val="28"/>
    </w:rPr>
  </w:style>
  <w:style w:type="paragraph" w:customStyle="1" w:styleId="21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rPr>
  </w:style>
  <w:style w:type="paragraph" w:customStyle="1" w:styleId="217">
    <w:name w:val="样式 标题 3 + (中文) 黑体 小四 非加粗 段前: 7.8 磅 段后: 0 磅 行距: 固定值 20 磅"/>
    <w:basedOn w:val="4"/>
    <w:qFormat/>
    <w:uiPriority w:val="0"/>
    <w:pPr>
      <w:spacing w:line="400" w:lineRule="exact"/>
    </w:pPr>
    <w:rPr>
      <w:rFonts w:cs="宋体"/>
      <w:b/>
      <w:bCs w:val="0"/>
      <w:szCs w:val="20"/>
    </w:rPr>
  </w:style>
  <w:style w:type="paragraph" w:customStyle="1" w:styleId="218">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rPr>
  </w:style>
  <w:style w:type="paragraph" w:customStyle="1" w:styleId="21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sz w:val="18"/>
      <w:szCs w:val="18"/>
    </w:rPr>
  </w:style>
  <w:style w:type="paragraph" w:customStyle="1" w:styleId="220">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style>
  <w:style w:type="paragraph" w:customStyle="1" w:styleId="22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hAnsi="宋体"/>
    </w:rPr>
  </w:style>
  <w:style w:type="paragraph" w:customStyle="1" w:styleId="22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hAnsi="宋体"/>
      <w:sz w:val="18"/>
      <w:szCs w:val="18"/>
    </w:rPr>
  </w:style>
  <w:style w:type="paragraph" w:customStyle="1" w:styleId="224">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rPr>
  </w:style>
  <w:style w:type="paragraph" w:customStyle="1" w:styleId="225">
    <w:name w:val="Char Char Char Char Char Char"/>
    <w:basedOn w:val="1"/>
    <w:qFormat/>
    <w:uiPriority w:val="0"/>
    <w:rPr>
      <w:rFonts w:ascii="Tahoma" w:hAnsi="Tahoma"/>
    </w:rPr>
  </w:style>
  <w:style w:type="paragraph" w:customStyle="1" w:styleId="226">
    <w:name w:val="Normal_2"/>
    <w:qFormat/>
    <w:uiPriority w:val="0"/>
    <w:rPr>
      <w:rFonts w:ascii="Times New Roman" w:hAnsi="Times New Roman" w:eastAsia="Times New Roman" w:cs="Times New Roman"/>
      <w:sz w:val="24"/>
      <w:szCs w:val="24"/>
      <w:lang w:val="en-US" w:eastAsia="zh-CN" w:bidi="ar-SA"/>
    </w:rPr>
  </w:style>
  <w:style w:type="paragraph" w:customStyle="1" w:styleId="227">
    <w:name w:val="Normal_1"/>
    <w:qFormat/>
    <w:uiPriority w:val="0"/>
    <w:rPr>
      <w:rFonts w:ascii="Times New Roman" w:hAnsi="Times New Roman" w:eastAsia="Times New Roman" w:cs="Times New Roman"/>
      <w:sz w:val="24"/>
      <w:szCs w:val="24"/>
      <w:lang w:val="en-US" w:eastAsia="zh-CN" w:bidi="ar-SA"/>
    </w:rPr>
  </w:style>
  <w:style w:type="paragraph" w:customStyle="1" w:styleId="228">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229">
    <w:name w:val="普通 (Web)"/>
    <w:basedOn w:val="1"/>
    <w:qFormat/>
    <w:uiPriority w:val="0"/>
    <w:pPr>
      <w:widowControl/>
      <w:spacing w:before="100" w:beforeAutospacing="1" w:after="100" w:afterAutospacing="1"/>
      <w:jc w:val="left"/>
    </w:pPr>
    <w:rPr>
      <w:rFonts w:hAnsi="宋体"/>
    </w:rPr>
  </w:style>
  <w:style w:type="paragraph" w:styleId="230">
    <w:name w:val="No Spacing"/>
    <w:link w:val="23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31">
    <w:name w:val="无间隔 Char"/>
    <w:link w:val="230"/>
    <w:qFormat/>
    <w:uiPriority w:val="0"/>
    <w:rPr>
      <w:rFonts w:ascii="Calibri" w:hAnsi="Calibri"/>
      <w:kern w:val="2"/>
      <w:sz w:val="21"/>
      <w:szCs w:val="22"/>
      <w:lang w:bidi="ar-SA"/>
    </w:rPr>
  </w:style>
  <w:style w:type="paragraph" w:customStyle="1" w:styleId="232">
    <w:name w:val="Normal_0"/>
    <w:qFormat/>
    <w:uiPriority w:val="0"/>
    <w:rPr>
      <w:rFonts w:ascii="Times New Roman" w:hAnsi="Times New Roman" w:eastAsia="宋体" w:cs="Times New Roman"/>
      <w:sz w:val="24"/>
      <w:szCs w:val="24"/>
      <w:lang w:val="en-US" w:eastAsia="zh-CN" w:bidi="ar-SA"/>
    </w:rPr>
  </w:style>
  <w:style w:type="paragraph" w:customStyle="1" w:styleId="233">
    <w:name w:val="Char"/>
    <w:basedOn w:val="1"/>
    <w:qFormat/>
    <w:uiPriority w:val="0"/>
    <w:rPr>
      <w:rFonts w:ascii="Calibri" w:hAnsi="Calibri"/>
      <w:szCs w:val="22"/>
    </w:rPr>
  </w:style>
  <w:style w:type="paragraph" w:customStyle="1" w:styleId="234">
    <w:name w:val="font5"/>
    <w:basedOn w:val="1"/>
    <w:qFormat/>
    <w:uiPriority w:val="0"/>
    <w:pPr>
      <w:widowControl/>
      <w:spacing w:before="100" w:beforeAutospacing="1" w:after="100" w:afterAutospacing="1"/>
      <w:jc w:val="left"/>
    </w:pPr>
    <w:rPr>
      <w:rFonts w:hint="eastAsia" w:hAnsi="宋体"/>
      <w:sz w:val="18"/>
      <w:szCs w:val="18"/>
    </w:rPr>
  </w:style>
  <w:style w:type="paragraph" w:customStyle="1" w:styleId="235">
    <w:name w:val="Char Char Char Char Char Char1"/>
    <w:basedOn w:val="1"/>
    <w:qFormat/>
    <w:uiPriority w:val="0"/>
    <w:rPr>
      <w:rFonts w:ascii="Tahoma" w:hAnsi="Tahoma"/>
    </w:rPr>
  </w:style>
  <w:style w:type="paragraph" w:customStyle="1" w:styleId="236">
    <w:name w:val="xl42"/>
    <w:basedOn w:val="1"/>
    <w:qFormat/>
    <w:uiPriority w:val="0"/>
    <w:pPr>
      <w:widowControl/>
      <w:spacing w:before="100" w:beforeAutospacing="1" w:after="100" w:afterAutospacing="1"/>
      <w:jc w:val="center"/>
    </w:pPr>
    <w:rPr>
      <w:rFonts w:hAnsi="宋体"/>
      <w:b/>
      <w:bCs/>
      <w:sz w:val="32"/>
      <w:szCs w:val="32"/>
    </w:rPr>
  </w:style>
  <w:style w:type="paragraph" w:customStyle="1" w:styleId="237">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sz w:val="22"/>
      <w:szCs w:val="22"/>
    </w:rPr>
  </w:style>
  <w:style w:type="paragraph" w:customStyle="1" w:styleId="238">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Calibri" w:hAnsi="Calibri"/>
      <w:szCs w:val="22"/>
    </w:rPr>
  </w:style>
  <w:style w:type="paragraph" w:customStyle="1" w:styleId="239">
    <w:name w:val="样式1"/>
    <w:basedOn w:val="1"/>
    <w:qFormat/>
    <w:uiPriority w:val="0"/>
    <w:pPr>
      <w:spacing w:line="360" w:lineRule="auto"/>
      <w:ind w:firstLine="420" w:firstLineChars="200"/>
    </w:pPr>
    <w:rPr>
      <w:rFonts w:hAnsi="宋体"/>
      <w:szCs w:val="21"/>
    </w:rPr>
  </w:style>
  <w:style w:type="paragraph" w:customStyle="1" w:styleId="240">
    <w:name w:val="段落2"/>
    <w:basedOn w:val="1"/>
    <w:qFormat/>
    <w:uiPriority w:val="0"/>
    <w:pPr>
      <w:spacing w:line="360" w:lineRule="auto"/>
      <w:ind w:firstLine="480" w:firstLineChars="200"/>
    </w:pPr>
    <w:rPr>
      <w:rFonts w:ascii="Calibri" w:hAnsi="Calibri" w:cs="Courier New"/>
      <w:szCs w:val="21"/>
    </w:rPr>
  </w:style>
  <w:style w:type="paragraph" w:customStyle="1" w:styleId="241">
    <w:name w:val="空半行"/>
    <w:basedOn w:val="1"/>
    <w:qFormat/>
    <w:uiPriority w:val="0"/>
    <w:pPr>
      <w:adjustRightInd w:val="0"/>
      <w:spacing w:line="120" w:lineRule="exact"/>
    </w:pPr>
    <w:rPr>
      <w:rFonts w:eastAsia="仿宋_GB2312"/>
      <w:color w:val="FFFFFF"/>
      <w:sz w:val="30"/>
    </w:rPr>
  </w:style>
  <w:style w:type="paragraph" w:customStyle="1" w:styleId="242">
    <w:name w:val="目录"/>
    <w:basedOn w:val="1"/>
    <w:qFormat/>
    <w:uiPriority w:val="0"/>
    <w:pPr>
      <w:widowControl/>
      <w:jc w:val="center"/>
    </w:pPr>
    <w:rPr>
      <w:rFonts w:hAnsi="Calibri"/>
      <w:b/>
      <w:sz w:val="36"/>
    </w:rPr>
  </w:style>
  <w:style w:type="paragraph" w:customStyle="1" w:styleId="243">
    <w:name w:val="目录文字"/>
    <w:basedOn w:val="1"/>
    <w:qFormat/>
    <w:uiPriority w:val="0"/>
    <w:pPr>
      <w:widowControl/>
      <w:spacing w:line="480" w:lineRule="auto"/>
      <w:jc w:val="left"/>
    </w:pPr>
    <w:rPr>
      <w:rFonts w:hAnsi="宋体"/>
    </w:rPr>
  </w:style>
  <w:style w:type="paragraph" w:customStyle="1" w:styleId="24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z w:val="20"/>
    </w:rPr>
  </w:style>
  <w:style w:type="paragraph" w:customStyle="1" w:styleId="24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sz w:val="18"/>
      <w:szCs w:val="18"/>
    </w:rPr>
  </w:style>
  <w:style w:type="paragraph" w:customStyle="1" w:styleId="246">
    <w:name w:val="xl33"/>
    <w:basedOn w:val="1"/>
    <w:qFormat/>
    <w:uiPriority w:val="0"/>
    <w:pPr>
      <w:widowControl/>
      <w:pBdr>
        <w:left w:val="single" w:color="auto" w:sz="4" w:space="0"/>
      </w:pBdr>
      <w:spacing w:before="100" w:beforeAutospacing="1" w:after="100" w:afterAutospacing="1"/>
      <w:jc w:val="center"/>
    </w:pPr>
    <w:rPr>
      <w:rFonts w:ascii="Arial Unicode MS" w:hAnsi="Arial Unicode MS" w:eastAsia="Arial Unicode MS" w:cs="Arial Unicode MS"/>
      <w:sz w:val="28"/>
      <w:szCs w:val="28"/>
    </w:rPr>
  </w:style>
  <w:style w:type="paragraph" w:customStyle="1" w:styleId="247">
    <w:name w:val="段落1 Char"/>
    <w:basedOn w:val="27"/>
    <w:qFormat/>
    <w:uiPriority w:val="0"/>
    <w:pPr>
      <w:spacing w:line="360" w:lineRule="auto"/>
    </w:pPr>
    <w:rPr>
      <w:rFonts w:ascii="Times New Roman" w:hAnsi="Times New Roman"/>
      <w:sz w:val="24"/>
      <w:szCs w:val="21"/>
    </w:rPr>
  </w:style>
  <w:style w:type="paragraph" w:customStyle="1" w:styleId="248">
    <w:name w:val="xl43"/>
    <w:basedOn w:val="1"/>
    <w:qFormat/>
    <w:uiPriority w:val="0"/>
    <w:pPr>
      <w:widowControl/>
      <w:spacing w:before="100" w:beforeAutospacing="1" w:after="100" w:afterAutospacing="1"/>
      <w:jc w:val="left"/>
    </w:pPr>
    <w:rPr>
      <w:rFonts w:hAnsi="宋体"/>
    </w:rPr>
  </w:style>
  <w:style w:type="paragraph" w:customStyle="1" w:styleId="249">
    <w:name w:val="简单回函地址"/>
    <w:basedOn w:val="1"/>
    <w:qFormat/>
    <w:uiPriority w:val="0"/>
    <w:rPr>
      <w:rFonts w:ascii="Calibri" w:hAnsi="Calibri"/>
      <w:szCs w:val="22"/>
    </w:rPr>
  </w:style>
  <w:style w:type="paragraph" w:customStyle="1" w:styleId="25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sz w:val="18"/>
      <w:szCs w:val="18"/>
    </w:rPr>
  </w:style>
  <w:style w:type="paragraph" w:customStyle="1" w:styleId="251">
    <w:name w:val="xl44"/>
    <w:basedOn w:val="1"/>
    <w:qFormat/>
    <w:uiPriority w:val="0"/>
    <w:pPr>
      <w:widowControl/>
      <w:spacing w:before="100" w:beforeAutospacing="1" w:after="100" w:afterAutospacing="1"/>
      <w:jc w:val="center"/>
    </w:pPr>
    <w:rPr>
      <w:rFonts w:hAnsi="宋体"/>
      <w:b/>
      <w:bCs/>
      <w:sz w:val="32"/>
      <w:szCs w:val="32"/>
    </w:rPr>
  </w:style>
  <w:style w:type="paragraph" w:customStyle="1" w:styleId="252">
    <w:name w:val="font6"/>
    <w:basedOn w:val="1"/>
    <w:qFormat/>
    <w:uiPriority w:val="0"/>
    <w:pPr>
      <w:widowControl/>
      <w:spacing w:before="100" w:beforeAutospacing="1" w:after="100" w:afterAutospacing="1"/>
      <w:jc w:val="left"/>
    </w:pPr>
    <w:rPr>
      <w:sz w:val="18"/>
      <w:szCs w:val="18"/>
    </w:rPr>
  </w:style>
  <w:style w:type="paragraph" w:customStyle="1" w:styleId="25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hAnsi="宋体"/>
    </w:rPr>
  </w:style>
  <w:style w:type="paragraph" w:customStyle="1" w:styleId="254">
    <w:name w:val="Default Paragraph Char Char Char Char"/>
    <w:basedOn w:val="1"/>
    <w:qFormat/>
    <w:uiPriority w:val="0"/>
    <w:pPr>
      <w:widowControl/>
      <w:spacing w:line="360" w:lineRule="auto"/>
      <w:jc w:val="left"/>
    </w:pPr>
    <w:rPr>
      <w:rFonts w:ascii="Calibri" w:hAnsi="Calibri"/>
      <w:lang w:eastAsia="en-US"/>
    </w:rPr>
  </w:style>
  <w:style w:type="paragraph" w:customStyle="1" w:styleId="255">
    <w:name w:val="普通(网站)_0"/>
    <w:basedOn w:val="106"/>
    <w:qFormat/>
    <w:uiPriority w:val="0"/>
    <w:pPr>
      <w:widowControl/>
      <w:spacing w:before="100" w:beforeAutospacing="1" w:after="100" w:afterAutospacing="1"/>
      <w:jc w:val="left"/>
    </w:pPr>
    <w:rPr>
      <w:rFonts w:ascii="宋体" w:hAnsi="宋体"/>
      <w:kern w:val="0"/>
      <w:sz w:val="24"/>
    </w:rPr>
  </w:style>
  <w:style w:type="paragraph" w:customStyle="1" w:styleId="256">
    <w:name w:val="Char11"/>
    <w:basedOn w:val="1"/>
    <w:qFormat/>
    <w:uiPriority w:val="0"/>
    <w:pPr>
      <w:widowControl/>
      <w:spacing w:line="360" w:lineRule="auto"/>
      <w:jc w:val="left"/>
    </w:pPr>
    <w:rPr>
      <w:rFonts w:ascii="Calibri" w:hAnsi="Calibri"/>
      <w:lang w:eastAsia="en-US"/>
    </w:rPr>
  </w:style>
  <w:style w:type="paragraph" w:customStyle="1" w:styleId="257">
    <w:name w:val="Char10 Char Char Char Char Char Char Char Char Char"/>
    <w:basedOn w:val="1"/>
    <w:qFormat/>
    <w:uiPriority w:val="0"/>
    <w:rPr>
      <w:rFonts w:ascii="Calibri" w:hAnsi="Calibri"/>
      <w:szCs w:val="22"/>
    </w:rPr>
  </w:style>
  <w:style w:type="paragraph" w:customStyle="1" w:styleId="258">
    <w:name w:val="_Style 255"/>
    <w:basedOn w:val="2"/>
    <w:qFormat/>
    <w:uiPriority w:val="0"/>
    <w:pPr>
      <w:widowControl/>
      <w:spacing w:before="480" w:line="276" w:lineRule="auto"/>
      <w:jc w:val="left"/>
      <w:outlineLvl w:val="9"/>
    </w:pPr>
    <w:rPr>
      <w:rFonts w:ascii="Cambria" w:hAnsi="Cambria"/>
      <w:bCs w:val="0"/>
      <w:color w:val="365F91"/>
      <w:kern w:val="0"/>
      <w:sz w:val="28"/>
    </w:rPr>
  </w:style>
  <w:style w:type="paragraph" w:customStyle="1" w:styleId="259">
    <w:name w:val="Char Char Char Char1"/>
    <w:basedOn w:val="1"/>
    <w:qFormat/>
    <w:uiPriority w:val="0"/>
    <w:pPr>
      <w:snapToGrid w:val="0"/>
      <w:spacing w:line="360" w:lineRule="auto"/>
      <w:ind w:firstLine="200" w:firstLineChars="200"/>
    </w:pPr>
    <w:rPr>
      <w:rFonts w:ascii="Calibri" w:hAnsi="Calibri" w:eastAsia="仿宋_GB2312"/>
      <w:szCs w:val="22"/>
    </w:rPr>
  </w:style>
  <w:style w:type="paragraph" w:customStyle="1" w:styleId="260">
    <w:name w:val="Char10 Char Char Char Char Char Char Char Char Char1"/>
    <w:basedOn w:val="1"/>
    <w:qFormat/>
    <w:uiPriority w:val="0"/>
    <w:rPr>
      <w:rFonts w:ascii="Calibri" w:hAnsi="Calibri"/>
      <w:szCs w:val="22"/>
    </w:rPr>
  </w:style>
  <w:style w:type="paragraph" w:customStyle="1" w:styleId="261">
    <w:name w:val="xl45"/>
    <w:basedOn w:val="1"/>
    <w:qFormat/>
    <w:uiPriority w:val="0"/>
    <w:pPr>
      <w:widowControl/>
      <w:spacing w:before="100" w:beforeAutospacing="1" w:after="100" w:afterAutospacing="1"/>
      <w:jc w:val="left"/>
    </w:pPr>
    <w:rPr>
      <w:rFonts w:hAnsi="宋体"/>
    </w:rPr>
  </w:style>
  <w:style w:type="paragraph" w:customStyle="1" w:styleId="262">
    <w:name w:val="MsoNormal"/>
    <w:basedOn w:val="232"/>
    <w:qFormat/>
    <w:uiPriority w:val="0"/>
    <w:rPr>
      <w:rFonts w:ascii="Calibri" w:hAnsi="Calibri" w:eastAsia="Calibri"/>
      <w:sz w:val="21"/>
    </w:rPr>
  </w:style>
  <w:style w:type="paragraph" w:customStyle="1" w:styleId="26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rPr>
  </w:style>
  <w:style w:type="paragraph" w:customStyle="1" w:styleId="264">
    <w:name w:val="_Style 261"/>
    <w:qFormat/>
    <w:uiPriority w:val="0"/>
    <w:rPr>
      <w:rFonts w:ascii="Times New Roman" w:hAnsi="Times New Roman" w:eastAsia="宋体" w:cs="Times New Roman"/>
      <w:kern w:val="2"/>
      <w:sz w:val="21"/>
      <w:szCs w:val="24"/>
      <w:lang w:val="en-US" w:eastAsia="zh-CN" w:bidi="ar-SA"/>
    </w:rPr>
  </w:style>
  <w:style w:type="paragraph" w:customStyle="1" w:styleId="265">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hAnsi="宋体"/>
    </w:rPr>
  </w:style>
  <w:style w:type="paragraph" w:customStyle="1" w:styleId="266">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18"/>
      <w:szCs w:val="18"/>
    </w:rPr>
  </w:style>
  <w:style w:type="paragraph" w:customStyle="1" w:styleId="267">
    <w:name w:val="flNote"/>
    <w:basedOn w:val="1"/>
    <w:qFormat/>
    <w:uiPriority w:val="0"/>
    <w:pPr>
      <w:adjustRightInd w:val="0"/>
      <w:spacing w:before="320" w:after="160" w:line="360" w:lineRule="atLeast"/>
      <w:jc w:val="center"/>
    </w:pPr>
    <w:rPr>
      <w:rFonts w:ascii="Arial" w:eastAsia="黑体"/>
      <w:sz w:val="30"/>
    </w:rPr>
  </w:style>
  <w:style w:type="paragraph" w:customStyle="1" w:styleId="268">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
    <w:name w:val="范本目录"/>
    <w:basedOn w:val="1"/>
    <w:qFormat/>
    <w:uiPriority w:val="0"/>
    <w:pPr>
      <w:adjustRightInd w:val="0"/>
      <w:snapToGrid w:val="0"/>
      <w:spacing w:before="48" w:beforeLines="20" w:after="48" w:afterLines="20" w:line="540" w:lineRule="exact"/>
      <w:jc w:val="center"/>
    </w:pPr>
    <w:rPr>
      <w:rFonts w:hAnsi="宋体"/>
      <w:b/>
      <w:bCs/>
      <w:sz w:val="36"/>
    </w:rPr>
  </w:style>
  <w:style w:type="paragraph" w:customStyle="1" w:styleId="270">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1">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rPr>
  </w:style>
  <w:style w:type="paragraph" w:customStyle="1" w:styleId="272">
    <w:name w:val="Char Char Char Char Char"/>
    <w:basedOn w:val="1"/>
    <w:qFormat/>
    <w:uiPriority w:val="0"/>
    <w:rPr>
      <w:rFonts w:ascii="Tahoma" w:hAnsi="Tahoma"/>
    </w:rPr>
  </w:style>
  <w:style w:type="paragraph" w:customStyle="1" w:styleId="273">
    <w:name w:val="p0"/>
    <w:basedOn w:val="1"/>
    <w:qFormat/>
    <w:uiPriority w:val="0"/>
    <w:pPr>
      <w:widowControl/>
      <w:spacing w:before="100" w:beforeAutospacing="1" w:after="100" w:afterAutospacing="1"/>
      <w:jc w:val="left"/>
    </w:pPr>
    <w:rPr>
      <w:rFonts w:hAnsi="宋体" w:cs="宋体"/>
    </w:rPr>
  </w:style>
  <w:style w:type="character" w:customStyle="1" w:styleId="274">
    <w:name w:val="jxz"/>
    <w:qFormat/>
    <w:uiPriority w:val="0"/>
    <w:rPr>
      <w:shd w:val="clear" w:color="auto" w:fill="71A0D3"/>
    </w:rPr>
  </w:style>
  <w:style w:type="character" w:customStyle="1" w:styleId="275">
    <w:name w:val="share"/>
    <w:qFormat/>
    <w:uiPriority w:val="0"/>
  </w:style>
  <w:style w:type="character" w:customStyle="1" w:styleId="276">
    <w:name w:val="bsharetext"/>
    <w:qFormat/>
    <w:uiPriority w:val="0"/>
  </w:style>
  <w:style w:type="character" w:customStyle="1" w:styleId="277">
    <w:name w:val="wx-space"/>
    <w:qFormat/>
    <w:uiPriority w:val="0"/>
  </w:style>
  <w:style w:type="character" w:customStyle="1" w:styleId="278">
    <w:name w:val="hover20"/>
    <w:qFormat/>
    <w:uiPriority w:val="0"/>
    <w:rPr>
      <w:color w:val="000000"/>
      <w:shd w:val="clear" w:color="auto" w:fill="FFFFFF"/>
    </w:rPr>
  </w:style>
  <w:style w:type="character" w:customStyle="1" w:styleId="279">
    <w:name w:val="margin_right20"/>
    <w:qFormat/>
    <w:uiPriority w:val="0"/>
  </w:style>
  <w:style w:type="character" w:customStyle="1" w:styleId="280">
    <w:name w:val="active2"/>
    <w:qFormat/>
    <w:uiPriority w:val="0"/>
    <w:rPr>
      <w:color w:val="FFFFFF"/>
      <w:shd w:val="clear" w:color="auto" w:fill="E22323"/>
    </w:rPr>
  </w:style>
  <w:style w:type="character" w:customStyle="1" w:styleId="281">
    <w:name w:val="hover4"/>
    <w:qFormat/>
    <w:uiPriority w:val="0"/>
    <w:rPr>
      <w:color w:val="0063BA"/>
    </w:rPr>
  </w:style>
  <w:style w:type="character" w:customStyle="1" w:styleId="282">
    <w:name w:val="before"/>
    <w:qFormat/>
    <w:uiPriority w:val="0"/>
    <w:rPr>
      <w:shd w:val="clear" w:color="auto" w:fill="E22323"/>
    </w:rPr>
  </w:style>
  <w:style w:type="character" w:customStyle="1" w:styleId="283">
    <w:name w:val="badge"/>
    <w:qFormat/>
    <w:uiPriority w:val="0"/>
    <w:rPr>
      <w:shd w:val="clear" w:color="auto" w:fill="FFFFFF"/>
    </w:rPr>
  </w:style>
  <w:style w:type="character" w:customStyle="1" w:styleId="284">
    <w:name w:val="badge1"/>
    <w:qFormat/>
    <w:uiPriority w:val="0"/>
    <w:rPr>
      <w:color w:val="909090"/>
      <w:sz w:val="18"/>
      <w:szCs w:val="18"/>
    </w:rPr>
  </w:style>
  <w:style w:type="character" w:customStyle="1" w:styleId="285">
    <w:name w:val="badge2"/>
    <w:qFormat/>
    <w:uiPriority w:val="0"/>
    <w:rPr>
      <w:color w:val="128BED"/>
    </w:rPr>
  </w:style>
  <w:style w:type="character" w:customStyle="1" w:styleId="286">
    <w:name w:val="badge3"/>
    <w:qFormat/>
    <w:uiPriority w:val="0"/>
    <w:rPr>
      <w:shd w:val="clear" w:color="auto" w:fill="FFFFFF"/>
    </w:rPr>
  </w:style>
  <w:style w:type="character" w:customStyle="1" w:styleId="287">
    <w:name w:val="badge4"/>
    <w:qFormat/>
    <w:uiPriority w:val="0"/>
    <w:rPr>
      <w:color w:val="909090"/>
      <w:sz w:val="18"/>
      <w:szCs w:val="18"/>
    </w:rPr>
  </w:style>
  <w:style w:type="character" w:customStyle="1" w:styleId="288">
    <w:name w:val="badge5"/>
    <w:qFormat/>
    <w:uiPriority w:val="0"/>
    <w:rPr>
      <w:color w:val="128BED"/>
    </w:rPr>
  </w:style>
  <w:style w:type="character" w:customStyle="1" w:styleId="289">
    <w:name w:val="badge6"/>
    <w:qFormat/>
    <w:uiPriority w:val="0"/>
    <w:rPr>
      <w:color w:val="128BED"/>
    </w:rPr>
  </w:style>
  <w:style w:type="character" w:customStyle="1" w:styleId="290">
    <w:name w:val="after"/>
    <w:qFormat/>
    <w:uiPriority w:val="0"/>
    <w:rPr>
      <w:shd w:val="clear" w:color="auto" w:fill="FFFFFF"/>
    </w:rPr>
  </w:style>
  <w:style w:type="character" w:customStyle="1" w:styleId="291">
    <w:name w:val="nc-lang-cnt"/>
    <w:qFormat/>
    <w:uiPriority w:val="0"/>
    <w:rPr>
      <w:rFonts w:hint="cs"/>
      <w:rtl/>
      <w:cs/>
    </w:rPr>
  </w:style>
  <w:style w:type="character" w:customStyle="1" w:styleId="292">
    <w:name w:val="nc-lang-cnt1"/>
    <w:qFormat/>
    <w:uiPriority w:val="0"/>
  </w:style>
  <w:style w:type="character" w:customStyle="1" w:styleId="293">
    <w:name w:val="nc-lang-cnt2"/>
    <w:qFormat/>
    <w:uiPriority w:val="0"/>
    <w:rPr>
      <w:rFonts w:hint="cs"/>
      <w:rtl/>
      <w:cs/>
    </w:rPr>
  </w:style>
  <w:style w:type="character" w:customStyle="1" w:styleId="294">
    <w:name w:val="nc-lang-cnt3"/>
    <w:qFormat/>
    <w:uiPriority w:val="0"/>
  </w:style>
  <w:style w:type="character" w:customStyle="1" w:styleId="295">
    <w:name w:val="nc-lang-cnt4"/>
    <w:qFormat/>
    <w:uiPriority w:val="0"/>
  </w:style>
  <w:style w:type="character" w:customStyle="1" w:styleId="296">
    <w:name w:val="nc-lang-cnt5"/>
    <w:qFormat/>
    <w:uiPriority w:val="0"/>
    <w:rPr>
      <w:rFonts w:hint="cs"/>
      <w:rtl/>
      <w:cs/>
    </w:rPr>
  </w:style>
  <w:style w:type="character" w:customStyle="1" w:styleId="297">
    <w:name w:val="nc-lang-cnt6"/>
    <w:qFormat/>
    <w:uiPriority w:val="0"/>
    <w:rPr>
      <w:rFonts w:hint="cs"/>
      <w:rtl/>
      <w:cs/>
    </w:rPr>
  </w:style>
  <w:style w:type="character" w:customStyle="1" w:styleId="298">
    <w:name w:val="edit"/>
    <w:qFormat/>
    <w:uiPriority w:val="0"/>
  </w:style>
  <w:style w:type="character" w:customStyle="1" w:styleId="299">
    <w:name w:val="delete"/>
    <w:qFormat/>
    <w:uiPriority w:val="0"/>
  </w:style>
  <w:style w:type="character" w:customStyle="1" w:styleId="300">
    <w:name w:val="des14"/>
    <w:qFormat/>
    <w:uiPriority w:val="0"/>
    <w:rPr>
      <w:color w:val="333333"/>
    </w:rPr>
  </w:style>
  <w:style w:type="character" w:customStyle="1" w:styleId="301">
    <w:name w:val="nth-child(2)"/>
    <w:qFormat/>
    <w:uiPriority w:val="0"/>
  </w:style>
  <w:style w:type="character" w:customStyle="1" w:styleId="302">
    <w:name w:val="fc2"/>
    <w:qFormat/>
    <w:uiPriority w:val="0"/>
    <w:rPr>
      <w:color w:val="FFFFFF"/>
    </w:rPr>
  </w:style>
  <w:style w:type="character" w:customStyle="1" w:styleId="303">
    <w:name w:val="first-child"/>
    <w:qFormat/>
    <w:uiPriority w:val="0"/>
  </w:style>
  <w:style w:type="character" w:customStyle="1" w:styleId="304">
    <w:name w:val="layui-layer-tabnow"/>
    <w:qFormat/>
    <w:uiPriority w:val="0"/>
    <w:rPr>
      <w:bdr w:val="single" w:color="CCCCCC" w:sz="6" w:space="0"/>
      <w:shd w:val="clear" w:color="auto" w:fill="FFFFFF"/>
    </w:rPr>
  </w:style>
  <w:style w:type="character" w:customStyle="1" w:styleId="305">
    <w:name w:val="index-module_accountauthentication_3bwix"/>
    <w:qFormat/>
    <w:uiPriority w:val="0"/>
  </w:style>
  <w:style w:type="character" w:customStyle="1" w:styleId="306">
    <w:name w:val="spr"/>
    <w:qFormat/>
    <w:uiPriority w:val="0"/>
  </w:style>
  <w:style w:type="character" w:customStyle="1" w:styleId="307">
    <w:name w:val="spl"/>
    <w:qFormat/>
    <w:uiPriority w:val="0"/>
  </w:style>
  <w:style w:type="character" w:customStyle="1" w:styleId="308">
    <w:name w:val="tit4"/>
    <w:qFormat/>
    <w:uiPriority w:val="0"/>
    <w:rPr>
      <w:b/>
      <w:bCs/>
      <w:color w:val="333333"/>
      <w:sz w:val="24"/>
      <w:szCs w:val="24"/>
    </w:rPr>
  </w:style>
  <w:style w:type="character" w:customStyle="1" w:styleId="309">
    <w:name w:val="tit5"/>
    <w:qFormat/>
    <w:uiPriority w:val="0"/>
    <w:rPr>
      <w:b/>
      <w:bCs/>
    </w:rPr>
  </w:style>
  <w:style w:type="character" w:customStyle="1" w:styleId="310">
    <w:name w:val="tit6"/>
    <w:qFormat/>
    <w:uiPriority w:val="0"/>
  </w:style>
  <w:style w:type="character" w:customStyle="1" w:styleId="311">
    <w:name w:val="Blockquote Char Char"/>
    <w:qFormat/>
    <w:uiPriority w:val="0"/>
    <w:rPr>
      <w:rFonts w:eastAsia="宋体"/>
      <w:sz w:val="24"/>
      <w:lang w:val="en-US" w:eastAsia="zh-CN" w:bidi="ar-SA"/>
    </w:rPr>
  </w:style>
  <w:style w:type="character" w:customStyle="1" w:styleId="312">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13">
    <w:name w:val="Char Char1"/>
    <w:qFormat/>
    <w:uiPriority w:val="0"/>
    <w:rPr>
      <w:rFonts w:eastAsia="宋体"/>
      <w:kern w:val="2"/>
      <w:sz w:val="24"/>
      <w:lang w:val="en-US" w:eastAsia="zh-CN" w:bidi="ar-SA"/>
    </w:rPr>
  </w:style>
  <w:style w:type="character" w:customStyle="1" w:styleId="314">
    <w:name w:val="ask-title"/>
    <w:qFormat/>
    <w:uiPriority w:val="0"/>
  </w:style>
  <w:style w:type="character" w:customStyle="1" w:styleId="315">
    <w:name w:val="font21"/>
    <w:qFormat/>
    <w:uiPriority w:val="0"/>
    <w:rPr>
      <w:rFonts w:hint="eastAsia" w:ascii="宋体" w:hAnsi="宋体" w:eastAsia="宋体" w:cs="宋体"/>
      <w:color w:val="000000"/>
      <w:sz w:val="21"/>
      <w:szCs w:val="21"/>
      <w:u w:val="none"/>
    </w:rPr>
  </w:style>
  <w:style w:type="character" w:customStyle="1" w:styleId="316">
    <w:name w:val="font11"/>
    <w:qFormat/>
    <w:uiPriority w:val="0"/>
    <w:rPr>
      <w:rFonts w:hint="eastAsia" w:ascii="宋体" w:hAnsi="宋体" w:eastAsia="宋体" w:cs="宋体"/>
      <w:color w:val="000000"/>
      <w:sz w:val="21"/>
      <w:szCs w:val="21"/>
      <w:u w:val="none"/>
      <w:vertAlign w:val="superscript"/>
    </w:rPr>
  </w:style>
  <w:style w:type="character" w:customStyle="1" w:styleId="317">
    <w:name w:val="Char Char16"/>
    <w:qFormat/>
    <w:uiPriority w:val="0"/>
    <w:rPr>
      <w:rFonts w:ascii="Arial" w:hAnsi="Arial" w:eastAsia="黑体"/>
      <w:sz w:val="28"/>
      <w:lang w:val="en-US" w:eastAsia="zh-CN" w:bidi="ar-SA"/>
    </w:rPr>
  </w:style>
  <w:style w:type="character" w:customStyle="1" w:styleId="318">
    <w:name w:val="正文文本缩进 Char2"/>
    <w:qFormat/>
    <w:uiPriority w:val="0"/>
    <w:rPr>
      <w:kern w:val="2"/>
      <w:sz w:val="21"/>
      <w:szCs w:val="24"/>
    </w:rPr>
  </w:style>
  <w:style w:type="character" w:customStyle="1" w:styleId="319">
    <w:name w:val="纯文本 字符"/>
    <w:qFormat/>
    <w:uiPriority w:val="0"/>
    <w:rPr>
      <w:rFonts w:ascii="宋体" w:hAnsi="Courier New" w:eastAsia="宋体"/>
      <w:kern w:val="2"/>
      <w:sz w:val="21"/>
      <w:lang w:val="en-US" w:eastAsia="zh-CN" w:bidi="ar-SA"/>
    </w:rPr>
  </w:style>
  <w:style w:type="character" w:customStyle="1" w:styleId="320">
    <w:name w:val="Char Char5"/>
    <w:qFormat/>
    <w:uiPriority w:val="0"/>
    <w:rPr>
      <w:kern w:val="2"/>
      <w:sz w:val="18"/>
      <w:szCs w:val="18"/>
    </w:rPr>
  </w:style>
  <w:style w:type="character" w:customStyle="1" w:styleId="321">
    <w:name w:val="Char Char111"/>
    <w:qFormat/>
    <w:uiPriority w:val="0"/>
    <w:rPr>
      <w:rFonts w:ascii="宋体" w:hAnsi="Courier New" w:eastAsia="宋体" w:cs="Courier New"/>
      <w:kern w:val="2"/>
      <w:sz w:val="21"/>
      <w:szCs w:val="21"/>
      <w:lang w:val="en-US" w:eastAsia="zh-CN" w:bidi="ar-SA"/>
    </w:rPr>
  </w:style>
  <w:style w:type="character" w:customStyle="1" w:styleId="322">
    <w:name w:val="bb1"/>
    <w:qFormat/>
    <w:uiPriority w:val="0"/>
    <w:rPr>
      <w:color w:val="8A8A8A"/>
      <w:sz w:val="18"/>
      <w:szCs w:val="18"/>
    </w:rPr>
  </w:style>
  <w:style w:type="character" w:customStyle="1" w:styleId="323">
    <w:name w:val="Char Char11"/>
    <w:qFormat/>
    <w:uiPriority w:val="0"/>
    <w:rPr>
      <w:rFonts w:eastAsia="宋体"/>
      <w:kern w:val="2"/>
      <w:sz w:val="21"/>
      <w:szCs w:val="24"/>
      <w:lang w:val="en-US" w:eastAsia="zh-CN" w:bidi="ar-SA"/>
    </w:rPr>
  </w:style>
  <w:style w:type="paragraph" w:customStyle="1" w:styleId="324">
    <w:name w:val="Char1"/>
    <w:basedOn w:val="1"/>
    <w:qFormat/>
    <w:uiPriority w:val="0"/>
    <w:pPr>
      <w:spacing w:line="360" w:lineRule="auto"/>
    </w:pPr>
    <w:rPr>
      <w:rFonts w:ascii="Times New Roman"/>
      <w:kern w:val="2"/>
      <w:sz w:val="21"/>
      <w:szCs w:val="24"/>
    </w:rPr>
  </w:style>
  <w:style w:type="paragraph" w:customStyle="1" w:styleId="325">
    <w:name w:val="1 Char"/>
    <w:basedOn w:val="1"/>
    <w:qFormat/>
    <w:uiPriority w:val="0"/>
    <w:rPr>
      <w:rFonts w:ascii="Times New Roman"/>
      <w:kern w:val="2"/>
      <w:sz w:val="21"/>
      <w:szCs w:val="24"/>
    </w:rPr>
  </w:style>
  <w:style w:type="paragraph" w:customStyle="1" w:styleId="326">
    <w:name w:val="Char1 Char Char Char"/>
    <w:basedOn w:val="1"/>
    <w:qFormat/>
    <w:uiPriority w:val="0"/>
    <w:rPr>
      <w:rFonts w:ascii="Tahoma" w:hAnsi="Tahoma"/>
      <w:kern w:val="2"/>
      <w:sz w:val="30"/>
      <w:szCs w:val="30"/>
    </w:rPr>
  </w:style>
  <w:style w:type="paragraph" w:customStyle="1" w:styleId="327">
    <w:name w:val="Table Paragraph"/>
    <w:basedOn w:val="1"/>
    <w:qFormat/>
    <w:uiPriority w:val="1"/>
    <w:pPr>
      <w:autoSpaceDE w:val="0"/>
      <w:autoSpaceDN w:val="0"/>
      <w:jc w:val="left"/>
    </w:pPr>
    <w:rPr>
      <w:rFonts w:hAnsi="宋体" w:cs="宋体"/>
      <w:sz w:val="22"/>
      <w:szCs w:val="22"/>
      <w:lang w:eastAsia="en-US"/>
    </w:rPr>
  </w:style>
  <w:style w:type="paragraph" w:customStyle="1" w:styleId="328">
    <w:name w:val="List Paragraph1"/>
    <w:basedOn w:val="1"/>
    <w:qFormat/>
    <w:uiPriority w:val="0"/>
    <w:pPr>
      <w:ind w:firstLine="420" w:firstLineChars="200"/>
    </w:pPr>
    <w:rPr>
      <w:rFonts w:ascii="Calibri" w:hAnsi="Calibri"/>
      <w:kern w:val="2"/>
      <w:sz w:val="21"/>
      <w:szCs w:val="21"/>
    </w:rPr>
  </w:style>
  <w:style w:type="character" w:customStyle="1" w:styleId="329">
    <w:name w:val="Char Char Char Char Char Char Char Char1"/>
    <w:qFormat/>
    <w:uiPriority w:val="0"/>
    <w:rPr>
      <w:rFonts w:ascii="宋体" w:hAnsi="Courier New" w:eastAsia="宋体" w:cs="Courier New"/>
      <w:kern w:val="2"/>
      <w:sz w:val="21"/>
      <w:szCs w:val="21"/>
      <w:lang w:val="en-US" w:eastAsia="zh-CN" w:bidi="ar-SA"/>
    </w:rPr>
  </w:style>
  <w:style w:type="character" w:customStyle="1" w:styleId="330">
    <w:name w:val="Char Char161"/>
    <w:qFormat/>
    <w:uiPriority w:val="0"/>
    <w:rPr>
      <w:rFonts w:ascii="Arial" w:hAnsi="Arial" w:eastAsia="黑体"/>
      <w:sz w:val="28"/>
      <w:lang w:val="en-US" w:eastAsia="zh-CN" w:bidi="ar-SA"/>
    </w:rPr>
  </w:style>
  <w:style w:type="character" w:customStyle="1" w:styleId="331">
    <w:name w:val="Char Char51"/>
    <w:qFormat/>
    <w:uiPriority w:val="0"/>
    <w:rPr>
      <w:kern w:val="2"/>
      <w:sz w:val="18"/>
      <w:szCs w:val="18"/>
    </w:rPr>
  </w:style>
  <w:style w:type="character" w:customStyle="1" w:styleId="332">
    <w:name w:val="Char Char112"/>
    <w:qFormat/>
    <w:uiPriority w:val="0"/>
    <w:rPr>
      <w:rFonts w:eastAsia="宋体"/>
      <w:kern w:val="2"/>
      <w:sz w:val="21"/>
      <w:szCs w:val="24"/>
      <w:lang w:val="en-US" w:eastAsia="zh-CN" w:bidi="ar-SA"/>
    </w:rPr>
  </w:style>
  <w:style w:type="paragraph" w:customStyle="1" w:styleId="333">
    <w:name w:val="正文11"/>
    <w:qFormat/>
    <w:uiPriority w:val="0"/>
    <w:pPr>
      <w:widowControl w:val="0"/>
      <w:adjustRightInd w:val="0"/>
      <w:spacing w:line="312" w:lineRule="atLeast"/>
      <w:jc w:val="both"/>
    </w:pPr>
    <w:rPr>
      <w:rFonts w:ascii="宋体" w:hAnsi="Times New Roman" w:eastAsia="宋体" w:cs="Times New Roman"/>
      <w:sz w:val="24"/>
      <w:lang w:val="en-US" w:eastAsia="zh-CN" w:bidi="ar-SA"/>
    </w:rPr>
  </w:style>
  <w:style w:type="character" w:customStyle="1" w:styleId="334">
    <w:name w:val="标题 3 Char2"/>
    <w:qFormat/>
    <w:uiPriority w:val="0"/>
    <w:rPr>
      <w:rFonts w:ascii="黑体" w:hAnsi="黑体" w:eastAsia="黑体"/>
      <w:bCs/>
      <w:kern w:val="2"/>
      <w:sz w:val="24"/>
      <w:szCs w:val="24"/>
    </w:rPr>
  </w:style>
  <w:style w:type="character" w:customStyle="1" w:styleId="335">
    <w:name w:val="red"/>
    <w:qFormat/>
    <w:uiPriority w:val="0"/>
  </w:style>
  <w:style w:type="table" w:customStyle="1" w:styleId="336">
    <w:name w:val="网格型1"/>
    <w:basedOn w:val="54"/>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37">
    <w:name w:val="表格"/>
    <w:basedOn w:val="1"/>
    <w:qFormat/>
    <w:uiPriority w:val="0"/>
    <w:pPr>
      <w:jc w:val="center"/>
    </w:pPr>
    <w:rPr>
      <w:rFonts w:ascii="华文细黑" w:hAnsi="华文细黑"/>
      <w:sz w:val="21"/>
    </w:rPr>
  </w:style>
  <w:style w:type="paragraph" w:customStyle="1" w:styleId="338">
    <w:name w:val="Table Text"/>
    <w:basedOn w:val="1"/>
    <w:semiHidden/>
    <w:qFormat/>
    <w:uiPriority w:val="0"/>
    <w:rPr>
      <w:rFonts w:hAnsi="宋体" w:cs="宋体"/>
      <w:szCs w:val="24"/>
      <w:lang w:eastAsia="en-US"/>
    </w:rPr>
  </w:style>
  <w:style w:type="table" w:customStyle="1" w:styleId="339">
    <w:name w:val="Table Normal"/>
    <w:unhideWhenUsed/>
    <w:qFormat/>
    <w:uiPriority w:val="0"/>
    <w:tblPr>
      <w:tblCellMar>
        <w:top w:w="0" w:type="dxa"/>
        <w:left w:w="0" w:type="dxa"/>
        <w:bottom w:w="0" w:type="dxa"/>
        <w:right w:w="0" w:type="dxa"/>
      </w:tblCellMar>
    </w:tblPr>
  </w:style>
  <w:style w:type="character" w:customStyle="1" w:styleId="340">
    <w:name w:val="hover"/>
    <w:basedOn w:val="56"/>
    <w:qFormat/>
    <w:uiPriority w:val="0"/>
    <w:rPr>
      <w:color w:val="2590EB"/>
      <w:shd w:val="clear" w:color="auto" w:fill="E9F4FD"/>
    </w:rPr>
  </w:style>
  <w:style w:type="character" w:customStyle="1" w:styleId="341">
    <w:name w:val="hover1"/>
    <w:basedOn w:val="56"/>
    <w:qFormat/>
    <w:uiPriority w:val="0"/>
    <w:rPr>
      <w:color w:val="2590EB"/>
    </w:rPr>
  </w:style>
  <w:style w:type="character" w:customStyle="1" w:styleId="342">
    <w:name w:val="hover2"/>
    <w:basedOn w:val="56"/>
    <w:qFormat/>
    <w:uiPriority w:val="0"/>
    <w:rPr>
      <w:color w:val="2590EB"/>
    </w:rPr>
  </w:style>
  <w:style w:type="character" w:customStyle="1" w:styleId="343">
    <w:name w:val="hover3"/>
    <w:basedOn w:val="56"/>
    <w:qFormat/>
    <w:uiPriority w:val="0"/>
  </w:style>
  <w:style w:type="character" w:customStyle="1" w:styleId="344">
    <w:name w:val="mini-outputtext1"/>
    <w:basedOn w:val="56"/>
    <w:qFormat/>
    <w:uiPriority w:val="0"/>
  </w:style>
  <w:style w:type="character" w:customStyle="1" w:styleId="345">
    <w:name w:val="NormalCharacter"/>
    <w:qFormat/>
    <w:uiPriority w:val="0"/>
  </w:style>
  <w:style w:type="paragraph" w:customStyle="1" w:styleId="346">
    <w:name w:val="样式"/>
    <w:qFormat/>
    <w:uiPriority w:val="99"/>
    <w:pPr>
      <w:widowControl w:val="0"/>
      <w:autoSpaceDE w:val="0"/>
      <w:autoSpaceDN w:val="0"/>
      <w:adjustRightInd w:val="0"/>
      <w:spacing w:line="360" w:lineRule="auto"/>
      <w:jc w:val="both"/>
    </w:pPr>
    <w:rPr>
      <w:rFonts w:ascii="宋体" w:hAnsi="宋体" w:eastAsia="等线" w:cs="宋体"/>
      <w:sz w:val="24"/>
      <w:szCs w:val="24"/>
      <w:lang w:val="en-US" w:eastAsia="zh-CN" w:bidi="ar-SA"/>
    </w:rPr>
  </w:style>
  <w:style w:type="paragraph" w:customStyle="1" w:styleId="347">
    <w:name w:val="_Style 5"/>
    <w:basedOn w:val="2"/>
    <w:qFormat/>
    <w:uiPriority w:val="0"/>
    <w:pPr>
      <w:outlineLvl w:val="9"/>
    </w:pPr>
  </w:style>
  <w:style w:type="paragraph" w:customStyle="1" w:styleId="348">
    <w:name w:val="目录 31"/>
    <w:basedOn w:val="1"/>
    <w:qFormat/>
    <w:uiPriority w:val="0"/>
    <w:pPr>
      <w:ind w:left="840" w:leftChars="400"/>
    </w:pPr>
  </w:style>
  <w:style w:type="paragraph" w:customStyle="1" w:styleId="349">
    <w:name w:val="目录 41"/>
    <w:basedOn w:val="1"/>
    <w:qFormat/>
    <w:uiPriority w:val="0"/>
    <w:pPr>
      <w:ind w:left="1260" w:leftChars="600"/>
    </w:pPr>
  </w:style>
  <w:style w:type="paragraph" w:customStyle="1" w:styleId="350">
    <w:name w:val="正文首行缩进1"/>
    <w:basedOn w:val="19"/>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13498</Words>
  <Characters>14591</Characters>
  <Lines>338</Lines>
  <Paragraphs>95</Paragraphs>
  <TotalTime>13</TotalTime>
  <ScaleCrop>false</ScaleCrop>
  <LinksUpToDate>false</LinksUpToDate>
  <CharactersWithSpaces>16108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2023-02-09T03:33:00Z</dcterms:created>
  <dc:creator>User</dc:creator>
  <cp:lastModifiedBy>淘一刀</cp:lastModifiedBy>
  <dcterms:modified xsi:type="dcterms:W3CDTF">2025-04-18T02:56:38Z</dcterms:modified>
  <dc:title>第二章  投标人须知</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3E8FDBDF1AC049088EE9460FA5D35070_13</vt:lpwstr>
  </property>
  <property fmtid="{D5CDD505-2E9C-101B-9397-08002B2CF9AE}" pid="4" name="KSOTemplateDocerSaveRecord">
    <vt:lpwstr>eyJoZGlkIjoiZWM1MDAyNGViZTFjOGEzM2MyMGNiN2M1MDhhNzNiZDMiLCJ1c2VySWQiOiI3NTM3Njc2MzkifQ==</vt:lpwstr>
  </property>
</Properties>
</file>